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leftChars="0" w:firstLine="0" w:firstLineChars="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744845" cy="8738870"/>
            <wp:effectExtent l="0" t="0" r="8255" b="5080"/>
            <wp:docPr id="3" name="图片 3" descr="2023年棚改预征收决定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3年棚改预征收决定 001"/>
                    <pic:cNvPicPr>
                      <a:picLocks noChangeAspect="1"/>
                    </pic:cNvPicPr>
                  </pic:nvPicPr>
                  <pic:blipFill>
                    <a:blip r:embed="rId4"/>
                    <a:stretch>
                      <a:fillRect/>
                    </a:stretch>
                  </pic:blipFill>
                  <pic:spPr>
                    <a:xfrm>
                      <a:off x="0" y="0"/>
                      <a:ext cx="5744845" cy="8738870"/>
                    </a:xfrm>
                    <a:prstGeom prst="rect">
                      <a:avLst/>
                    </a:prstGeom>
                  </pic:spPr>
                </pic:pic>
              </a:graphicData>
            </a:graphic>
          </wp:inline>
        </w:drawing>
      </w:r>
      <w:r>
        <w:rPr>
          <w:rFonts w:hint="eastAsia" w:ascii="仿宋_GB2312" w:hAnsi="仿宋_GB2312" w:eastAsia="仿宋_GB2312" w:cs="仿宋_GB2312"/>
          <w:sz w:val="32"/>
          <w:szCs w:val="32"/>
          <w:lang w:val="en-US" w:eastAsia="zh-CN"/>
        </w:rPr>
        <w:t>附件1</w:t>
      </w:r>
    </w:p>
    <w:p>
      <w:pPr>
        <w:adjustRightInd w:val="0"/>
        <w:snapToGrid w:val="0"/>
        <w:spacing w:line="576" w:lineRule="atLeast"/>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kern w:val="2"/>
          <w:sz w:val="32"/>
          <w:szCs w:val="32"/>
          <w:lang w:val="en-US" w:eastAsia="zh-CN" w:bidi="ar-SA"/>
        </w:rPr>
        <w:drawing>
          <wp:inline distT="0" distB="0" distL="114300" distR="114300">
            <wp:extent cx="5757545" cy="8347710"/>
            <wp:effectExtent l="0" t="0" r="14605" b="15240"/>
            <wp:docPr id="1" name="图片框 1027"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框 1027" descr="88"/>
                    <pic:cNvPicPr>
                      <a:picLocks noChangeAspect="1"/>
                    </pic:cNvPicPr>
                  </pic:nvPicPr>
                  <pic:blipFill>
                    <a:blip r:embed="rId5">
                      <a:lum/>
                    </a:blip>
                    <a:stretch>
                      <a:fillRect/>
                    </a:stretch>
                  </pic:blipFill>
                  <pic:spPr>
                    <a:xfrm>
                      <a:off x="0" y="0"/>
                      <a:ext cx="5757545" cy="8347710"/>
                    </a:xfrm>
                    <a:prstGeom prst="rect">
                      <a:avLst/>
                    </a:prstGeom>
                    <a:noFill/>
                    <a:ln>
                      <a:noFill/>
                    </a:ln>
                  </pic:spPr>
                </pic:pic>
              </a:graphicData>
            </a:graphic>
          </wp:inline>
        </w:drawing>
      </w:r>
    </w:p>
    <w:p>
      <w:pPr>
        <w:adjustRightInd w:val="0"/>
        <w:snapToGrid w:val="0"/>
        <w:spacing w:line="576" w:lineRule="atLeast"/>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kern w:val="2"/>
          <w:sz w:val="32"/>
          <w:szCs w:val="32"/>
          <w:lang w:val="en-US" w:eastAsia="zh-CN" w:bidi="ar-SA"/>
        </w:rPr>
        <w:drawing>
          <wp:inline distT="0" distB="0" distL="114300" distR="114300">
            <wp:extent cx="5644515" cy="8653145"/>
            <wp:effectExtent l="0" t="0" r="13335" b="14605"/>
            <wp:docPr id="2" name="图片框 4"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框 4" descr="77"/>
                    <pic:cNvPicPr>
                      <a:picLocks noChangeAspect="1"/>
                    </pic:cNvPicPr>
                  </pic:nvPicPr>
                  <pic:blipFill>
                    <a:blip r:embed="rId6">
                      <a:lum/>
                    </a:blip>
                    <a:stretch>
                      <a:fillRect/>
                    </a:stretch>
                  </pic:blipFill>
                  <pic:spPr>
                    <a:xfrm>
                      <a:off x="0" y="0"/>
                      <a:ext cx="5644515" cy="8653145"/>
                    </a:xfrm>
                    <a:prstGeom prst="rect">
                      <a:avLst/>
                    </a:prstGeom>
                    <a:noFill/>
                    <a:ln>
                      <a:noFill/>
                    </a:ln>
                  </pic:spPr>
                </pic:pic>
              </a:graphicData>
            </a:graphic>
          </wp:inline>
        </w:drawing>
      </w:r>
    </w:p>
    <w:p>
      <w:pPr>
        <w:adjustRightInd w:val="0"/>
        <w:snapToGrid w:val="0"/>
        <w:spacing w:line="576" w:lineRule="exact"/>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附件2</w:t>
      </w:r>
    </w:p>
    <w:p>
      <w:pPr>
        <w:adjustRightInd w:val="0"/>
        <w:snapToGrid w:val="0"/>
        <w:spacing w:line="576" w:lineRule="exact"/>
        <w:jc w:val="center"/>
        <w:rPr>
          <w:rFonts w:ascii="方正小标宋简体" w:hAnsi="方正小标宋简体"/>
          <w:color w:val="auto"/>
          <w:sz w:val="44"/>
          <w:szCs w:val="44"/>
        </w:rPr>
      </w:pPr>
    </w:p>
    <w:p>
      <w:pPr>
        <w:adjustRightInd w:val="0"/>
        <w:snapToGrid w:val="0"/>
        <w:spacing w:line="576" w:lineRule="exact"/>
        <w:jc w:val="center"/>
        <w:rPr>
          <w:rFonts w:ascii="方正小标宋简体" w:hAnsi="方正小标宋简体"/>
          <w:color w:val="auto"/>
          <w:sz w:val="44"/>
          <w:szCs w:val="44"/>
        </w:rPr>
      </w:pPr>
      <w:r>
        <w:rPr>
          <w:rFonts w:ascii="方正小标宋简体" w:hAnsi="方正小标宋简体"/>
          <w:color w:val="auto"/>
          <w:sz w:val="44"/>
          <w:szCs w:val="44"/>
        </w:rPr>
        <w:t>弋阳县202</w:t>
      </w:r>
      <w:r>
        <w:rPr>
          <w:rFonts w:hint="eastAsia" w:ascii="方正小标宋简体" w:hAnsi="方正小标宋简体"/>
          <w:color w:val="auto"/>
          <w:sz w:val="44"/>
          <w:szCs w:val="44"/>
          <w:lang w:val="en-US" w:eastAsia="zh-CN"/>
        </w:rPr>
        <w:t>3</w:t>
      </w:r>
      <w:r>
        <w:rPr>
          <w:rFonts w:ascii="方正小标宋简体" w:hAnsi="方正小标宋简体"/>
          <w:color w:val="auto"/>
          <w:sz w:val="44"/>
          <w:szCs w:val="44"/>
        </w:rPr>
        <w:t>年棚户区城中村改造项目</w:t>
      </w:r>
    </w:p>
    <w:p>
      <w:pPr>
        <w:adjustRightInd w:val="0"/>
        <w:snapToGrid w:val="0"/>
        <w:spacing w:line="576" w:lineRule="exact"/>
        <w:jc w:val="center"/>
        <w:rPr>
          <w:rFonts w:ascii="方正小标宋简体" w:hAnsi="方正小标宋简体"/>
          <w:color w:val="auto"/>
          <w:sz w:val="44"/>
          <w:szCs w:val="44"/>
        </w:rPr>
      </w:pPr>
      <w:r>
        <w:rPr>
          <w:rFonts w:ascii="方正小标宋简体" w:hAnsi="方正小标宋简体"/>
          <w:color w:val="auto"/>
          <w:sz w:val="44"/>
          <w:szCs w:val="44"/>
        </w:rPr>
        <w:t>房屋征收与补偿安置方案</w:t>
      </w:r>
    </w:p>
    <w:p>
      <w:pPr>
        <w:adjustRightInd w:val="0"/>
        <w:snapToGrid w:val="0"/>
        <w:spacing w:line="576" w:lineRule="exact"/>
        <w:ind w:firstLine="640" w:firstLineChars="200"/>
        <w:rPr>
          <w:rFonts w:ascii="仿宋_GB2312" w:hAnsi="仿宋_GB2312"/>
          <w:color w:val="auto"/>
          <w:sz w:val="32"/>
          <w:szCs w:val="32"/>
        </w:rPr>
      </w:pP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城市棚户区城中村改造是我国改善民生、扩大内需的重要举措，是改造城市面貌、改善人居环境的重要途径。为切实做好弋阳县202</w:t>
      </w:r>
      <w:r>
        <w:rPr>
          <w:rFonts w:hint="eastAsia" w:ascii="仿宋_GB2312" w:hAnsi="仿宋_GB2312"/>
          <w:color w:val="auto"/>
          <w:sz w:val="32"/>
          <w:szCs w:val="32"/>
          <w:lang w:val="en-US" w:eastAsia="zh-CN"/>
        </w:rPr>
        <w:t>3</w:t>
      </w:r>
      <w:r>
        <w:rPr>
          <w:rFonts w:ascii="仿宋_GB2312" w:hAnsi="仿宋_GB2312"/>
          <w:color w:val="auto"/>
          <w:sz w:val="32"/>
          <w:szCs w:val="32"/>
        </w:rPr>
        <w:t>年棚户区城中村改造项目的国有土地上房屋征收与补偿工作，现依据有关法律、法规和政策，结合我县实际，特制定本方案。</w:t>
      </w:r>
    </w:p>
    <w:p>
      <w:pPr>
        <w:adjustRightInd w:val="0"/>
        <w:snapToGrid w:val="0"/>
        <w:spacing w:line="576" w:lineRule="exact"/>
        <w:ind w:firstLine="640" w:firstLineChars="200"/>
        <w:outlineLvl w:val="0"/>
        <w:rPr>
          <w:rFonts w:ascii="黑体" w:hAnsi="黑体" w:eastAsia="黑体"/>
          <w:color w:val="auto"/>
          <w:sz w:val="32"/>
          <w:szCs w:val="32"/>
        </w:rPr>
      </w:pPr>
      <w:r>
        <w:rPr>
          <w:rFonts w:hint="eastAsia" w:ascii="黑体" w:hAnsi="黑体" w:eastAsia="黑体"/>
          <w:color w:val="auto"/>
          <w:sz w:val="32"/>
          <w:szCs w:val="32"/>
        </w:rPr>
        <w:t>一、征收目的和意义</w:t>
      </w:r>
    </w:p>
    <w:p>
      <w:pPr>
        <w:adjustRightInd w:val="0"/>
        <w:snapToGrid w:val="0"/>
        <w:spacing w:line="576" w:lineRule="exact"/>
        <w:ind w:firstLine="640" w:firstLineChars="200"/>
        <w:rPr>
          <w:rFonts w:hint="eastAsia" w:ascii="仿宋_GB2312" w:hAnsi="仿宋_GB2312"/>
          <w:color w:val="auto"/>
          <w:sz w:val="32"/>
          <w:szCs w:val="32"/>
        </w:rPr>
      </w:pPr>
      <w:r>
        <w:rPr>
          <w:rFonts w:ascii="仿宋_GB2312" w:hAnsi="仿宋_GB2312"/>
          <w:color w:val="auto"/>
          <w:sz w:val="32"/>
          <w:szCs w:val="32"/>
        </w:rPr>
        <w:t>为推动我县经济社会全面、健康、快速发展，进一步完善城市功能，改善城市面貌。根据广大居民的需求，以优化人居环境、提升城市品位为目的，认真落实城市建设总体规划，全力将我县城市规划区内棚户区城中村改造工程建成“群众认可、社会满意、政府放心”的民生工程，加快推进“传承红色基因和高质量发展示范区”建设步伐。</w:t>
      </w:r>
    </w:p>
    <w:p>
      <w:pPr>
        <w:adjustRightInd w:val="0"/>
        <w:snapToGrid w:val="0"/>
        <w:spacing w:line="576" w:lineRule="exact"/>
        <w:ind w:firstLine="640" w:firstLineChars="200"/>
        <w:outlineLvl w:val="0"/>
        <w:rPr>
          <w:rFonts w:ascii="黑体" w:hAnsi="黑体" w:eastAsia="黑体"/>
          <w:color w:val="auto"/>
          <w:sz w:val="32"/>
          <w:szCs w:val="32"/>
        </w:rPr>
      </w:pPr>
      <w:r>
        <w:rPr>
          <w:rFonts w:hint="eastAsia" w:ascii="黑体" w:hAnsi="黑体" w:eastAsia="黑体"/>
          <w:color w:val="auto"/>
          <w:sz w:val="32"/>
          <w:szCs w:val="32"/>
        </w:rPr>
        <w:t>二、房屋征收依据</w:t>
      </w:r>
    </w:p>
    <w:p>
      <w:pPr>
        <w:adjustRightInd w:val="0"/>
        <w:snapToGrid w:val="0"/>
        <w:spacing w:line="576" w:lineRule="exact"/>
        <w:ind w:firstLine="640" w:firstLineChars="200"/>
        <w:rPr>
          <w:rFonts w:hint="eastAsia" w:ascii="仿宋_GB2312" w:hAnsi="仿宋_GB2312"/>
          <w:color w:val="auto"/>
          <w:sz w:val="32"/>
          <w:szCs w:val="32"/>
        </w:rPr>
      </w:pPr>
      <w:r>
        <w:rPr>
          <w:rFonts w:ascii="仿宋_GB2312" w:hAnsi="仿宋_GB2312"/>
          <w:color w:val="auto"/>
          <w:sz w:val="32"/>
          <w:szCs w:val="32"/>
        </w:rPr>
        <w:t>1.《中华人民共和国民法典》；</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2.《中华人民共和国城市房地产管理法》；</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3.《中华人民共和国城乡规划法》；</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4.《中华人民共和国土地管理法》；</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5.《国有土地上房屋征收与补偿条例》；</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6.《江西省国有土地上房屋征收与补偿实施办法》；</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7.住房和城乡建设部、国家发展和改革委员会、财政部等《关于推进城市和国有工矿棚户区改造工作的指导意见》；</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8.其它涉及此项工作的相关法律法规及其他相关文件。</w:t>
      </w:r>
    </w:p>
    <w:p>
      <w:pPr>
        <w:adjustRightInd w:val="0"/>
        <w:snapToGrid w:val="0"/>
        <w:spacing w:line="576" w:lineRule="exact"/>
        <w:ind w:firstLine="640" w:firstLineChars="200"/>
        <w:outlineLvl w:val="0"/>
        <w:rPr>
          <w:rFonts w:ascii="黑体" w:hAnsi="黑体" w:eastAsia="黑体"/>
          <w:color w:val="auto"/>
          <w:sz w:val="32"/>
          <w:szCs w:val="32"/>
        </w:rPr>
      </w:pPr>
      <w:r>
        <w:rPr>
          <w:rFonts w:hint="eastAsia" w:ascii="黑体" w:hAnsi="黑体" w:eastAsia="黑体"/>
          <w:color w:val="auto"/>
          <w:sz w:val="32"/>
          <w:szCs w:val="32"/>
        </w:rPr>
        <w:t>三、征收范围及签约期限</w:t>
      </w:r>
    </w:p>
    <w:p>
      <w:pPr>
        <w:adjustRightInd w:val="0"/>
        <w:snapToGrid w:val="0"/>
        <w:spacing w:line="576" w:lineRule="exact"/>
        <w:ind w:firstLine="640" w:firstLineChars="200"/>
        <w:rPr>
          <w:rFonts w:hint="eastAsia" w:ascii="仿宋_GB2312" w:hAnsi="仿宋_GB2312"/>
          <w:color w:val="auto"/>
          <w:sz w:val="32"/>
          <w:szCs w:val="32"/>
        </w:rPr>
      </w:pPr>
      <w:r>
        <w:rPr>
          <w:rFonts w:ascii="仿宋_GB2312" w:hAnsi="仿宋_GB2312"/>
          <w:color w:val="auto"/>
          <w:sz w:val="32"/>
          <w:szCs w:val="32"/>
        </w:rPr>
        <w:t>征收范围：弋阳县</w:t>
      </w:r>
      <w:r>
        <w:rPr>
          <w:rFonts w:hint="eastAsia" w:ascii="仿宋_GB2312" w:hAnsi="仿宋_GB2312"/>
          <w:color w:val="auto"/>
          <w:sz w:val="32"/>
          <w:szCs w:val="32"/>
          <w:lang w:val="en-US" w:eastAsia="zh-CN"/>
        </w:rPr>
        <w:t>桃源片区，东门岭片区，南岩片区</w:t>
      </w:r>
      <w:r>
        <w:rPr>
          <w:rFonts w:ascii="仿宋_GB2312" w:hAnsi="仿宋_GB2312"/>
          <w:color w:val="auto"/>
          <w:sz w:val="32"/>
          <w:szCs w:val="32"/>
        </w:rPr>
        <w:t>土地上的建筑物、构筑物、附属物，四至范围详见规划红线图。</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签约期限：具体以弋阳县人民政府发布的征收公告期限为准。</w:t>
      </w:r>
    </w:p>
    <w:p>
      <w:pPr>
        <w:adjustRightInd w:val="0"/>
        <w:snapToGrid w:val="0"/>
        <w:spacing w:line="576" w:lineRule="exact"/>
        <w:ind w:firstLine="640" w:firstLineChars="200"/>
        <w:outlineLvl w:val="0"/>
        <w:rPr>
          <w:rFonts w:ascii="黑体" w:hAnsi="黑体" w:eastAsia="黑体"/>
          <w:color w:val="auto"/>
          <w:sz w:val="32"/>
          <w:szCs w:val="32"/>
        </w:rPr>
      </w:pPr>
      <w:r>
        <w:rPr>
          <w:rFonts w:hint="eastAsia" w:ascii="黑体" w:hAnsi="黑体" w:eastAsia="黑体"/>
          <w:color w:val="auto"/>
          <w:sz w:val="32"/>
          <w:szCs w:val="32"/>
        </w:rPr>
        <w:t>四、征收部门</w:t>
      </w:r>
    </w:p>
    <w:p>
      <w:pPr>
        <w:adjustRightInd w:val="0"/>
        <w:snapToGrid w:val="0"/>
        <w:spacing w:line="576" w:lineRule="exact"/>
        <w:ind w:firstLine="640" w:firstLineChars="200"/>
        <w:rPr>
          <w:rFonts w:hint="eastAsia" w:ascii="仿宋_GB2312" w:hAnsi="仿宋_GB2312"/>
          <w:color w:val="auto"/>
          <w:sz w:val="32"/>
          <w:szCs w:val="32"/>
        </w:rPr>
      </w:pPr>
      <w:r>
        <w:rPr>
          <w:rFonts w:ascii="仿宋_GB2312" w:hAnsi="仿宋_GB2312"/>
          <w:color w:val="auto"/>
          <w:sz w:val="32"/>
          <w:szCs w:val="32"/>
        </w:rPr>
        <w:t>弋阳县人民政府为项目房屋征收主体，县政府确定                弋阳县住房建设保障中心为房屋征收部门，</w:t>
      </w:r>
      <w:r>
        <w:rPr>
          <w:rFonts w:hint="eastAsia" w:ascii="仿宋_GB2312" w:hAnsi="仿宋_GB2312"/>
          <w:color w:val="auto"/>
          <w:sz w:val="32"/>
          <w:szCs w:val="32"/>
          <w:lang w:val="en-US" w:eastAsia="zh-CN"/>
        </w:rPr>
        <w:t>弋江镇、</w:t>
      </w:r>
      <w:r>
        <w:rPr>
          <w:rFonts w:ascii="仿宋_GB2312" w:hAnsi="仿宋_GB2312"/>
          <w:color w:val="auto"/>
          <w:sz w:val="32"/>
          <w:szCs w:val="32"/>
        </w:rPr>
        <w:t>桃源街道</w:t>
      </w:r>
      <w:r>
        <w:rPr>
          <w:rFonts w:hint="eastAsia" w:ascii="仿宋_GB2312" w:hAnsi="仿宋_GB2312"/>
          <w:color w:val="auto"/>
          <w:sz w:val="32"/>
          <w:szCs w:val="32"/>
          <w:lang w:eastAsia="zh-CN"/>
        </w:rPr>
        <w:t>、</w:t>
      </w:r>
      <w:r>
        <w:rPr>
          <w:rFonts w:hint="eastAsia" w:ascii="仿宋_GB2312" w:hAnsi="仿宋_GB2312"/>
          <w:color w:val="auto"/>
          <w:sz w:val="32"/>
          <w:szCs w:val="32"/>
          <w:lang w:val="en-US" w:eastAsia="zh-CN"/>
        </w:rPr>
        <w:t>南岩街道</w:t>
      </w:r>
      <w:r>
        <w:rPr>
          <w:rFonts w:ascii="仿宋_GB2312" w:hAnsi="仿宋_GB2312"/>
          <w:color w:val="auto"/>
          <w:sz w:val="32"/>
          <w:szCs w:val="32"/>
        </w:rPr>
        <w:t>等相关部门共同承担房屋征收补偿的具体工作。</w:t>
      </w:r>
    </w:p>
    <w:p>
      <w:pPr>
        <w:adjustRightInd w:val="0"/>
        <w:snapToGrid w:val="0"/>
        <w:spacing w:line="576" w:lineRule="exact"/>
        <w:ind w:firstLine="640" w:firstLineChars="200"/>
        <w:outlineLvl w:val="0"/>
        <w:rPr>
          <w:rFonts w:ascii="黑体" w:hAnsi="黑体" w:eastAsia="黑体"/>
          <w:color w:val="auto"/>
          <w:sz w:val="32"/>
          <w:szCs w:val="32"/>
        </w:rPr>
      </w:pPr>
      <w:r>
        <w:rPr>
          <w:rFonts w:hint="eastAsia" w:ascii="黑体" w:hAnsi="黑体" w:eastAsia="黑体"/>
          <w:color w:val="auto"/>
          <w:sz w:val="32"/>
          <w:szCs w:val="32"/>
        </w:rPr>
        <w:t>五、征收与补偿原则</w:t>
      </w:r>
    </w:p>
    <w:p>
      <w:pPr>
        <w:adjustRightInd w:val="0"/>
        <w:snapToGrid w:val="0"/>
        <w:spacing w:line="576" w:lineRule="exact"/>
        <w:ind w:firstLine="640" w:firstLineChars="200"/>
        <w:rPr>
          <w:rFonts w:hint="eastAsia" w:ascii="仿宋_GB2312" w:hAnsi="仿宋_GB2312"/>
          <w:color w:val="auto"/>
          <w:sz w:val="32"/>
          <w:szCs w:val="32"/>
        </w:rPr>
      </w:pPr>
      <w:r>
        <w:rPr>
          <w:rFonts w:ascii="仿宋_GB2312" w:hAnsi="仿宋_GB2312"/>
          <w:color w:val="auto"/>
          <w:sz w:val="32"/>
          <w:szCs w:val="32"/>
        </w:rPr>
        <w:t>房屋征收与补偿遵循“依法决策、程序正当、补偿公正、结果公开”的基本原则。</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1.房屋征收范围确定后，不得在房屋征收范围内实施新建、扩建、改建房屋及其附属物和改变房屋、土地用途等不当增加补偿费用的行为；</w:t>
      </w:r>
      <w:r>
        <w:rPr>
          <w:rFonts w:ascii="仿宋_GB2312" w:hAnsi="仿宋_GB2312"/>
          <w:color w:val="auto"/>
          <w:sz w:val="32"/>
          <w:szCs w:val="32"/>
        </w:rPr>
        <w:t>2022年8月以后所办理户口迁入、分户、工商营业执照、税务登记证等业务，不予认可并补偿。</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2.征收设有抵押权的房屋,征收有纠纷或产权不清的房屋，依法处理。</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3.房地合一征收补偿原则，房屋被依法征收的，国有土地使用权同时收回。</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4.对已依法登记的被征收人的房屋，其性质、用途和建筑面积原则上以房屋权属证书和房屋登记簿的记载为准；房屋权属证书与房屋登记簿记载不一致的，除有证据证明房屋登记簿有错误外，以房屋登记簿为准，被征收人应当及时提供权属证书备查。</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对未依法登记的建筑，县政府组织县有关部门及房屋所属街道等部门按照“尊重历史，遵循政策，结合实际”的原则进行调查认定，经调查认定为合法的建筑或者未超过批准期限的临时建筑，依法给予补偿；对调查认定为违法的建筑或者超过批准期限的临时建筑，不予补偿，但在第一时间节点签订协议搬迁腾空完毕将被征收房屋移交给房屋征收补偿安置实施单位的，可按同类结构房屋征收货币补偿标准的20%给予人工拆除补助，不补偿搬迁费、临时安置过渡费、奖励补助等其他费用，不得实行产权置换。</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5.被征收人应当积极主动地支持、配合相关部门和工作人员做好房屋测量、土地测绘等工作，因被征收人不配合造成测量测绘结果有异议的，由被征收人承担相应责任。</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6.房屋征收范围内的供电、供水、通讯和有线电视等公用设备，由相关部门自行负责拆除。</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7.被征收人的户数按以下原则确定：</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（1）房屋权属已登记的，按登记的产权证的本数确定被征收人的户数，但自建房一栋房屋内被登记同一产权人（包含夫妻双方）多本房产证的，按一户计算。</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2）一本房屋权属证书多人享有所有权的（按份共有，共同共有），按照“房户合一”的原则，如共有人具有单独户口，且落在该房屋产权地址上的，可进行分户认定；产权不明晰的，即使单独立户且一直在此居住的，也不予分户认定，但可分别给予搬迁费、安置费。</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（3）房屋权属未登记、土地使用权已登记的，按登记的土地使用权的本数确定被征收人的户数，但一宗土地权属范围内被登记同一使用权人（包含夫妻双方）多本证书的，按一户计算。</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（4）未进行产权登记的房屋，一栋房屋为一户。</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（5）权属人死亡的，权属登记未依法转移，或权利主张人“房户不合一”或有其他住房的，按原权利人确定户数。</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（6）被征收户在征收范围内有多处房产的，只按一户认定，但可以按房屋产权数量分别给予搬迁费、安置费和进度奖，购房保障按征收面积总量计算，不能按房屋产权数量分别享受本方案中的托底保障待遇。</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8.选择房屋产权置换的被征收人挑选县人民政府提供的置换房，按照“先交房先选房”的原则选择安置房。</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9.如被征收房屋结构无法确定的，可向专业房屋鉴定机构申请房屋结构鉴定，但只对房屋整体结构鉴定结果进行认定，对分层或者局部结构鉴定结果不予认定。</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10.国有土地上建设厨房及附属房的，房屋结构完整的，按国有补偿标准进行补偿。</w:t>
      </w:r>
    </w:p>
    <w:p>
      <w:pPr>
        <w:adjustRightInd w:val="0"/>
        <w:snapToGrid w:val="0"/>
        <w:spacing w:line="576" w:lineRule="exact"/>
        <w:ind w:firstLine="640" w:firstLineChars="200"/>
        <w:outlineLvl w:val="0"/>
        <w:rPr>
          <w:rFonts w:ascii="黑体" w:hAnsi="黑体" w:eastAsia="黑体"/>
          <w:color w:val="auto"/>
          <w:sz w:val="32"/>
          <w:szCs w:val="32"/>
        </w:rPr>
      </w:pPr>
      <w:r>
        <w:rPr>
          <w:rFonts w:hint="eastAsia" w:ascii="黑体" w:hAnsi="黑体" w:eastAsia="黑体"/>
          <w:color w:val="auto"/>
          <w:sz w:val="32"/>
          <w:szCs w:val="32"/>
        </w:rPr>
        <w:t>六、征收与补偿安置方式</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本次房屋征收，提供货币化补偿和产权置换安置两种方式供被征收人自愿选择。</w:t>
      </w:r>
    </w:p>
    <w:p>
      <w:pPr>
        <w:adjustRightInd w:val="0"/>
        <w:snapToGrid w:val="0"/>
        <w:spacing w:line="576" w:lineRule="exact"/>
        <w:ind w:firstLine="643" w:firstLineChars="200"/>
        <w:rPr>
          <w:rFonts w:hint="eastAsia" w:ascii="宋体" w:hAnsi="宋体" w:eastAsia="宋体" w:cs="宋体"/>
          <w:b/>
          <w:bCs/>
          <w:color w:val="auto"/>
          <w:kern w:val="0"/>
          <w:sz w:val="32"/>
          <w:szCs w:val="32"/>
        </w:rPr>
      </w:pPr>
      <w:r>
        <w:rPr>
          <w:rFonts w:hint="eastAsia" w:ascii="宋体" w:hAnsi="宋体" w:eastAsia="宋体" w:cs="宋体"/>
          <w:b/>
          <w:bCs/>
          <w:color w:val="auto"/>
          <w:kern w:val="0"/>
          <w:sz w:val="32"/>
          <w:szCs w:val="32"/>
          <w:lang w:val="en-US" w:eastAsia="zh-CN"/>
        </w:rPr>
        <w:t>（一）</w:t>
      </w:r>
      <w:r>
        <w:rPr>
          <w:rFonts w:hint="eastAsia" w:ascii="宋体" w:hAnsi="宋体" w:eastAsia="宋体" w:cs="宋体"/>
          <w:b/>
          <w:bCs/>
          <w:color w:val="auto"/>
          <w:kern w:val="0"/>
          <w:sz w:val="32"/>
          <w:szCs w:val="32"/>
        </w:rPr>
        <w:t>选择货币化安置方式</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1.</w:t>
      </w:r>
      <w:r>
        <w:rPr>
          <w:rFonts w:hint="eastAsia" w:ascii="宋体" w:hAnsi="宋体" w:eastAsia="宋体" w:cs="宋体"/>
          <w:color w:val="auto"/>
          <w:kern w:val="0"/>
          <w:sz w:val="32"/>
          <w:szCs w:val="32"/>
          <w:lang w:val="en-US" w:eastAsia="zh-CN"/>
        </w:rPr>
        <w:t>住宅</w:t>
      </w:r>
      <w:r>
        <w:rPr>
          <w:rFonts w:hint="eastAsia" w:ascii="宋体" w:hAnsi="宋体" w:eastAsia="宋体" w:cs="宋体"/>
          <w:color w:val="auto"/>
          <w:kern w:val="0"/>
          <w:sz w:val="32"/>
          <w:szCs w:val="32"/>
        </w:rPr>
        <w:t>房屋：</w:t>
      </w:r>
    </w:p>
    <w:p>
      <w:pPr>
        <w:adjustRightInd w:val="0"/>
        <w:snapToGrid w:val="0"/>
        <w:spacing w:line="576" w:lineRule="exact"/>
        <w:ind w:firstLine="640" w:firstLineChars="200"/>
        <w:rPr>
          <w:rFonts w:hint="eastAsia" w:ascii="宋体" w:hAnsi="宋体" w:eastAsia="宋体" w:cs="宋体"/>
          <w:color w:val="auto"/>
          <w:sz w:val="32"/>
          <w:szCs w:val="32"/>
        </w:rPr>
      </w:pPr>
      <w:r>
        <w:rPr>
          <w:rFonts w:hint="eastAsia" w:ascii="宋体" w:hAnsi="宋体" w:eastAsia="宋体" w:cs="宋体"/>
          <w:color w:val="auto"/>
          <w:kern w:val="0"/>
          <w:sz w:val="32"/>
          <w:szCs w:val="32"/>
        </w:rPr>
        <w:t>其主体建筑面积货币补偿参考价（含土地）为</w:t>
      </w:r>
      <w:r>
        <w:rPr>
          <w:rFonts w:hint="eastAsia" w:ascii="宋体" w:hAnsi="宋体" w:eastAsia="宋体" w:cs="宋体"/>
          <w:color w:val="auto"/>
          <w:sz w:val="32"/>
          <w:szCs w:val="32"/>
        </w:rPr>
        <w:t>：</w:t>
      </w:r>
    </w:p>
    <w:tbl>
      <w:tblPr>
        <w:tblStyle w:val="7"/>
        <w:tblW w:w="89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3"/>
        <w:gridCol w:w="2234"/>
        <w:gridCol w:w="2234"/>
        <w:gridCol w:w="2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233" w:type="dxa"/>
            <w:tcBorders>
              <w:top w:val="single" w:color="auto" w:sz="4" w:space="0"/>
              <w:left w:val="single" w:color="auto" w:sz="4" w:space="0"/>
              <w:bottom w:val="single" w:color="auto" w:sz="4" w:space="0"/>
              <w:right w:val="single" w:color="auto" w:sz="4" w:space="0"/>
            </w:tcBorders>
            <w:vAlign w:val="top"/>
          </w:tcPr>
          <w:p>
            <w:pPr>
              <w:adjustRightInd w:val="0"/>
              <w:snapToGrid w:val="0"/>
              <w:spacing w:line="576" w:lineRule="atLeast"/>
              <w:jc w:val="center"/>
              <w:rPr>
                <w:rFonts w:hint="eastAsia" w:ascii="宋体" w:hAnsi="宋体" w:eastAsia="宋体" w:cs="宋体"/>
                <w:color w:val="auto"/>
                <w:sz w:val="32"/>
                <w:szCs w:val="32"/>
              </w:rPr>
            </w:pPr>
            <w:r>
              <w:rPr>
                <w:rFonts w:hint="eastAsia" w:ascii="宋体" w:hAnsi="宋体" w:eastAsia="宋体" w:cs="宋体"/>
                <w:color w:val="auto"/>
                <w:sz w:val="32"/>
                <w:szCs w:val="32"/>
              </w:rPr>
              <w:t>房屋类型</w:t>
            </w:r>
          </w:p>
        </w:tc>
        <w:tc>
          <w:tcPr>
            <w:tcW w:w="2234" w:type="dxa"/>
            <w:tcBorders>
              <w:top w:val="single" w:color="auto" w:sz="4" w:space="0"/>
              <w:left w:val="nil"/>
              <w:bottom w:val="single" w:color="auto" w:sz="4" w:space="0"/>
              <w:right w:val="single" w:color="auto" w:sz="4" w:space="0"/>
            </w:tcBorders>
            <w:vAlign w:val="top"/>
          </w:tcPr>
          <w:p>
            <w:pPr>
              <w:adjustRightInd w:val="0"/>
              <w:snapToGrid w:val="0"/>
              <w:spacing w:line="576" w:lineRule="atLeast"/>
              <w:jc w:val="center"/>
              <w:rPr>
                <w:rFonts w:hint="eastAsia" w:ascii="宋体" w:hAnsi="宋体" w:eastAsia="宋体" w:cs="宋体"/>
                <w:color w:val="auto"/>
                <w:sz w:val="32"/>
                <w:szCs w:val="32"/>
              </w:rPr>
            </w:pPr>
            <w:r>
              <w:rPr>
                <w:rFonts w:hint="eastAsia" w:ascii="宋体" w:hAnsi="宋体" w:eastAsia="宋体" w:cs="宋体"/>
                <w:color w:val="auto"/>
                <w:sz w:val="32"/>
                <w:szCs w:val="32"/>
              </w:rPr>
              <w:t>价格</w:t>
            </w:r>
          </w:p>
        </w:tc>
        <w:tc>
          <w:tcPr>
            <w:tcW w:w="2234" w:type="dxa"/>
            <w:tcBorders>
              <w:top w:val="single" w:color="auto" w:sz="4" w:space="0"/>
              <w:left w:val="nil"/>
              <w:bottom w:val="single" w:color="auto" w:sz="4" w:space="0"/>
              <w:right w:val="single" w:color="auto" w:sz="4" w:space="0"/>
            </w:tcBorders>
            <w:vAlign w:val="top"/>
          </w:tcPr>
          <w:p>
            <w:pPr>
              <w:adjustRightInd w:val="0"/>
              <w:snapToGrid w:val="0"/>
              <w:spacing w:line="576" w:lineRule="atLeast"/>
              <w:jc w:val="center"/>
              <w:rPr>
                <w:rFonts w:hint="eastAsia" w:ascii="宋体" w:hAnsi="宋体" w:eastAsia="宋体" w:cs="宋体"/>
                <w:color w:val="auto"/>
                <w:sz w:val="32"/>
                <w:szCs w:val="32"/>
              </w:rPr>
            </w:pPr>
            <w:r>
              <w:rPr>
                <w:rFonts w:hint="eastAsia" w:ascii="宋体" w:hAnsi="宋体" w:eastAsia="宋体" w:cs="宋体"/>
                <w:color w:val="auto"/>
                <w:sz w:val="32"/>
                <w:szCs w:val="32"/>
              </w:rPr>
              <w:t>年折旧率</w:t>
            </w:r>
          </w:p>
        </w:tc>
        <w:tc>
          <w:tcPr>
            <w:tcW w:w="2234" w:type="dxa"/>
            <w:tcBorders>
              <w:top w:val="single" w:color="auto" w:sz="4" w:space="0"/>
              <w:left w:val="nil"/>
              <w:bottom w:val="single" w:color="auto" w:sz="4" w:space="0"/>
              <w:right w:val="single" w:color="auto" w:sz="4" w:space="0"/>
            </w:tcBorders>
            <w:vAlign w:val="top"/>
          </w:tcPr>
          <w:p>
            <w:pPr>
              <w:adjustRightInd w:val="0"/>
              <w:snapToGrid w:val="0"/>
              <w:spacing w:line="576" w:lineRule="atLeast"/>
              <w:jc w:val="center"/>
              <w:rPr>
                <w:rFonts w:hint="eastAsia" w:ascii="宋体" w:hAnsi="宋体" w:eastAsia="宋体" w:cs="宋体"/>
                <w:color w:val="auto"/>
                <w:sz w:val="32"/>
                <w:szCs w:val="32"/>
              </w:rPr>
            </w:pPr>
            <w:r>
              <w:rPr>
                <w:rFonts w:hint="eastAsia" w:ascii="宋体" w:hAnsi="宋体" w:eastAsia="宋体" w:cs="宋体"/>
                <w:color w:val="auto"/>
                <w:sz w:val="32"/>
                <w:szCs w:val="32"/>
              </w:rPr>
              <w:t>最低成新率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233" w:type="dxa"/>
            <w:tcBorders>
              <w:top w:val="single" w:color="auto" w:sz="4" w:space="0"/>
              <w:left w:val="single" w:color="auto" w:sz="4" w:space="0"/>
              <w:bottom w:val="single" w:color="auto" w:sz="4" w:space="0"/>
              <w:right w:val="single" w:color="auto" w:sz="4" w:space="0"/>
            </w:tcBorders>
            <w:vAlign w:val="top"/>
          </w:tcPr>
          <w:p>
            <w:pPr>
              <w:adjustRightInd w:val="0"/>
              <w:snapToGrid w:val="0"/>
              <w:spacing w:line="576" w:lineRule="atLeast"/>
              <w:jc w:val="center"/>
              <w:rPr>
                <w:rFonts w:hint="eastAsia" w:ascii="宋体" w:hAnsi="宋体" w:eastAsia="宋体" w:cs="宋体"/>
                <w:color w:val="auto"/>
                <w:sz w:val="32"/>
                <w:szCs w:val="32"/>
              </w:rPr>
            </w:pPr>
            <w:r>
              <w:rPr>
                <w:rFonts w:hint="eastAsia" w:ascii="宋体" w:hAnsi="宋体" w:eastAsia="宋体" w:cs="宋体"/>
                <w:color w:val="auto"/>
                <w:sz w:val="32"/>
                <w:szCs w:val="32"/>
              </w:rPr>
              <w:t>框架（含地价）</w:t>
            </w:r>
          </w:p>
        </w:tc>
        <w:tc>
          <w:tcPr>
            <w:tcW w:w="2234" w:type="dxa"/>
            <w:tcBorders>
              <w:top w:val="single" w:color="auto" w:sz="4" w:space="0"/>
              <w:left w:val="nil"/>
              <w:bottom w:val="single" w:color="auto" w:sz="4" w:space="0"/>
              <w:right w:val="single" w:color="auto" w:sz="4" w:space="0"/>
            </w:tcBorders>
            <w:vAlign w:val="top"/>
          </w:tcPr>
          <w:p>
            <w:pPr>
              <w:adjustRightInd w:val="0"/>
              <w:snapToGrid w:val="0"/>
              <w:spacing w:line="576" w:lineRule="atLeast"/>
              <w:jc w:val="center"/>
              <w:rPr>
                <w:rFonts w:hint="eastAsia" w:ascii="宋体" w:hAnsi="宋体" w:eastAsia="宋体" w:cs="宋体"/>
                <w:color w:val="auto"/>
                <w:sz w:val="32"/>
                <w:szCs w:val="32"/>
              </w:rPr>
            </w:pPr>
            <w:r>
              <w:rPr>
                <w:rFonts w:hint="eastAsia" w:ascii="宋体" w:hAnsi="宋体" w:eastAsia="宋体" w:cs="宋体"/>
                <w:color w:val="auto"/>
                <w:sz w:val="32"/>
                <w:szCs w:val="32"/>
              </w:rPr>
              <w:t>4800元/㎡</w:t>
            </w:r>
          </w:p>
        </w:tc>
        <w:tc>
          <w:tcPr>
            <w:tcW w:w="2234" w:type="dxa"/>
            <w:vMerge w:val="restart"/>
            <w:tcBorders>
              <w:top w:val="nil"/>
              <w:left w:val="nil"/>
              <w:bottom w:val="single" w:color="auto" w:sz="4" w:space="0"/>
              <w:right w:val="single" w:color="auto" w:sz="4" w:space="0"/>
            </w:tcBorders>
            <w:vAlign w:val="center"/>
          </w:tcPr>
          <w:p>
            <w:pPr>
              <w:adjustRightInd w:val="0"/>
              <w:snapToGrid w:val="0"/>
              <w:spacing w:line="576" w:lineRule="atLeast"/>
              <w:jc w:val="center"/>
              <w:rPr>
                <w:rFonts w:hint="eastAsia" w:ascii="宋体" w:hAnsi="宋体" w:eastAsia="宋体" w:cs="宋体"/>
                <w:color w:val="auto"/>
                <w:sz w:val="32"/>
                <w:szCs w:val="32"/>
              </w:rPr>
            </w:pPr>
            <w:r>
              <w:rPr>
                <w:rFonts w:hint="eastAsia" w:ascii="宋体" w:hAnsi="宋体" w:eastAsia="宋体" w:cs="宋体"/>
                <w:color w:val="auto"/>
                <w:sz w:val="32"/>
                <w:szCs w:val="32"/>
              </w:rPr>
              <w:t>１%</w:t>
            </w:r>
          </w:p>
        </w:tc>
        <w:tc>
          <w:tcPr>
            <w:tcW w:w="2234" w:type="dxa"/>
            <w:tcBorders>
              <w:top w:val="single" w:color="auto" w:sz="4" w:space="0"/>
              <w:left w:val="nil"/>
              <w:bottom w:val="single" w:color="auto" w:sz="4" w:space="0"/>
              <w:right w:val="single" w:color="auto" w:sz="4" w:space="0"/>
            </w:tcBorders>
            <w:vAlign w:val="top"/>
          </w:tcPr>
          <w:p>
            <w:pPr>
              <w:adjustRightInd w:val="0"/>
              <w:snapToGrid w:val="0"/>
              <w:spacing w:line="576" w:lineRule="atLeast"/>
              <w:jc w:val="center"/>
              <w:rPr>
                <w:rFonts w:hint="eastAsia" w:ascii="宋体" w:hAnsi="宋体" w:eastAsia="宋体" w:cs="宋体"/>
                <w:color w:val="auto"/>
                <w:sz w:val="32"/>
                <w:szCs w:val="32"/>
              </w:rPr>
            </w:pPr>
            <w:r>
              <w:rPr>
                <w:rFonts w:hint="eastAsia" w:ascii="宋体" w:hAnsi="宋体" w:eastAsia="宋体" w:cs="宋体"/>
                <w:color w:val="auto"/>
                <w:sz w:val="32"/>
                <w:szCs w:val="32"/>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2233" w:type="dxa"/>
            <w:tcBorders>
              <w:top w:val="single" w:color="auto" w:sz="4" w:space="0"/>
              <w:left w:val="single" w:color="auto" w:sz="4" w:space="0"/>
              <w:bottom w:val="single" w:color="auto" w:sz="4" w:space="0"/>
              <w:right w:val="single" w:color="auto" w:sz="4" w:space="0"/>
            </w:tcBorders>
            <w:vAlign w:val="top"/>
          </w:tcPr>
          <w:p>
            <w:pPr>
              <w:adjustRightInd w:val="0"/>
              <w:snapToGrid w:val="0"/>
              <w:spacing w:line="576" w:lineRule="atLeast"/>
              <w:jc w:val="center"/>
              <w:rPr>
                <w:rFonts w:hint="eastAsia" w:ascii="宋体" w:hAnsi="宋体" w:eastAsia="宋体" w:cs="宋体"/>
                <w:color w:val="auto"/>
                <w:sz w:val="32"/>
                <w:szCs w:val="32"/>
              </w:rPr>
            </w:pPr>
            <w:r>
              <w:rPr>
                <w:rFonts w:hint="eastAsia" w:ascii="宋体" w:hAnsi="宋体" w:eastAsia="宋体" w:cs="宋体"/>
                <w:color w:val="auto"/>
                <w:sz w:val="32"/>
                <w:szCs w:val="32"/>
              </w:rPr>
              <w:t>砖混（含地价）</w:t>
            </w:r>
          </w:p>
        </w:tc>
        <w:tc>
          <w:tcPr>
            <w:tcW w:w="2234" w:type="dxa"/>
            <w:tcBorders>
              <w:top w:val="single" w:color="auto" w:sz="4" w:space="0"/>
              <w:left w:val="nil"/>
              <w:bottom w:val="single" w:color="auto" w:sz="4" w:space="0"/>
              <w:right w:val="single" w:color="auto" w:sz="4" w:space="0"/>
            </w:tcBorders>
            <w:vAlign w:val="top"/>
          </w:tcPr>
          <w:p>
            <w:pPr>
              <w:adjustRightInd w:val="0"/>
              <w:snapToGrid w:val="0"/>
              <w:spacing w:line="576" w:lineRule="atLeast"/>
              <w:jc w:val="center"/>
              <w:rPr>
                <w:rFonts w:hint="eastAsia" w:ascii="宋体" w:hAnsi="宋体" w:eastAsia="宋体" w:cs="宋体"/>
                <w:color w:val="auto"/>
                <w:sz w:val="32"/>
                <w:szCs w:val="32"/>
              </w:rPr>
            </w:pPr>
            <w:r>
              <w:rPr>
                <w:rFonts w:hint="eastAsia" w:ascii="宋体" w:hAnsi="宋体" w:eastAsia="宋体" w:cs="宋体"/>
                <w:color w:val="auto"/>
                <w:sz w:val="32"/>
                <w:szCs w:val="32"/>
              </w:rPr>
              <w:t>4600元/㎡</w:t>
            </w:r>
          </w:p>
        </w:tc>
        <w:tc>
          <w:tcPr>
            <w:tcW w:w="2234" w:type="dxa"/>
            <w:vMerge w:val="continue"/>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auto"/>
                <w:sz w:val="32"/>
                <w:szCs w:val="32"/>
              </w:rPr>
            </w:pPr>
          </w:p>
        </w:tc>
        <w:tc>
          <w:tcPr>
            <w:tcW w:w="2234" w:type="dxa"/>
            <w:tcBorders>
              <w:top w:val="single" w:color="auto" w:sz="4" w:space="0"/>
              <w:left w:val="nil"/>
              <w:bottom w:val="single" w:color="auto" w:sz="4" w:space="0"/>
              <w:right w:val="single" w:color="auto" w:sz="4" w:space="0"/>
            </w:tcBorders>
            <w:vAlign w:val="top"/>
          </w:tcPr>
          <w:p>
            <w:pPr>
              <w:adjustRightInd w:val="0"/>
              <w:snapToGrid w:val="0"/>
              <w:spacing w:line="576" w:lineRule="atLeast"/>
              <w:jc w:val="center"/>
              <w:rPr>
                <w:rFonts w:hint="eastAsia" w:ascii="宋体" w:hAnsi="宋体" w:eastAsia="宋体" w:cs="宋体"/>
                <w:color w:val="auto"/>
                <w:sz w:val="32"/>
                <w:szCs w:val="32"/>
              </w:rPr>
            </w:pPr>
            <w:r>
              <w:rPr>
                <w:rFonts w:hint="eastAsia" w:ascii="宋体" w:hAnsi="宋体" w:eastAsia="宋体" w:cs="宋体"/>
                <w:color w:val="auto"/>
                <w:sz w:val="32"/>
                <w:szCs w:val="32"/>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233" w:type="dxa"/>
            <w:tcBorders>
              <w:top w:val="single" w:color="auto" w:sz="4" w:space="0"/>
              <w:left w:val="single" w:color="auto" w:sz="4" w:space="0"/>
              <w:bottom w:val="single" w:color="auto" w:sz="4" w:space="0"/>
              <w:right w:val="single" w:color="auto" w:sz="4" w:space="0"/>
            </w:tcBorders>
            <w:vAlign w:val="top"/>
          </w:tcPr>
          <w:p>
            <w:pPr>
              <w:adjustRightInd w:val="0"/>
              <w:snapToGrid w:val="0"/>
              <w:spacing w:line="576" w:lineRule="atLeast"/>
              <w:jc w:val="center"/>
              <w:rPr>
                <w:rFonts w:hint="eastAsia" w:ascii="宋体" w:hAnsi="宋体" w:eastAsia="宋体" w:cs="宋体"/>
                <w:color w:val="auto"/>
                <w:sz w:val="32"/>
                <w:szCs w:val="32"/>
              </w:rPr>
            </w:pPr>
            <w:r>
              <w:rPr>
                <w:rFonts w:hint="eastAsia" w:ascii="宋体" w:hAnsi="宋体" w:eastAsia="宋体" w:cs="宋体"/>
                <w:color w:val="auto"/>
                <w:sz w:val="32"/>
                <w:szCs w:val="32"/>
              </w:rPr>
              <w:t>砖木（含地价）</w:t>
            </w:r>
          </w:p>
        </w:tc>
        <w:tc>
          <w:tcPr>
            <w:tcW w:w="2234" w:type="dxa"/>
            <w:tcBorders>
              <w:top w:val="single" w:color="auto" w:sz="4" w:space="0"/>
              <w:left w:val="nil"/>
              <w:bottom w:val="single" w:color="auto" w:sz="4" w:space="0"/>
              <w:right w:val="single" w:color="auto" w:sz="4" w:space="0"/>
            </w:tcBorders>
            <w:vAlign w:val="top"/>
          </w:tcPr>
          <w:p>
            <w:pPr>
              <w:adjustRightInd w:val="0"/>
              <w:snapToGrid w:val="0"/>
              <w:spacing w:line="576" w:lineRule="atLeast"/>
              <w:jc w:val="center"/>
              <w:rPr>
                <w:rFonts w:hint="eastAsia" w:ascii="宋体" w:hAnsi="宋体" w:eastAsia="宋体" w:cs="宋体"/>
                <w:color w:val="auto"/>
                <w:sz w:val="32"/>
                <w:szCs w:val="32"/>
              </w:rPr>
            </w:pPr>
            <w:r>
              <w:rPr>
                <w:rFonts w:hint="eastAsia" w:ascii="宋体" w:hAnsi="宋体" w:eastAsia="宋体" w:cs="宋体"/>
                <w:color w:val="auto"/>
                <w:sz w:val="32"/>
                <w:szCs w:val="32"/>
              </w:rPr>
              <w:t>3800元/㎡</w:t>
            </w:r>
          </w:p>
        </w:tc>
        <w:tc>
          <w:tcPr>
            <w:tcW w:w="2234" w:type="dxa"/>
            <w:vMerge w:val="continue"/>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auto"/>
                <w:sz w:val="32"/>
                <w:szCs w:val="32"/>
              </w:rPr>
            </w:pPr>
          </w:p>
        </w:tc>
        <w:tc>
          <w:tcPr>
            <w:tcW w:w="2234" w:type="dxa"/>
            <w:tcBorders>
              <w:top w:val="single" w:color="auto" w:sz="4" w:space="0"/>
              <w:left w:val="nil"/>
              <w:bottom w:val="single" w:color="auto" w:sz="4" w:space="0"/>
              <w:right w:val="single" w:color="auto" w:sz="4" w:space="0"/>
            </w:tcBorders>
            <w:vAlign w:val="top"/>
          </w:tcPr>
          <w:p>
            <w:pPr>
              <w:adjustRightInd w:val="0"/>
              <w:snapToGrid w:val="0"/>
              <w:spacing w:line="576" w:lineRule="atLeast"/>
              <w:jc w:val="center"/>
              <w:rPr>
                <w:rFonts w:hint="eastAsia" w:ascii="宋体" w:hAnsi="宋体" w:eastAsia="宋体" w:cs="宋体"/>
                <w:color w:val="auto"/>
                <w:sz w:val="32"/>
                <w:szCs w:val="32"/>
              </w:rPr>
            </w:pPr>
            <w:r>
              <w:rPr>
                <w:rFonts w:hint="eastAsia" w:ascii="宋体" w:hAnsi="宋体" w:eastAsia="宋体" w:cs="宋体"/>
                <w:color w:val="auto"/>
                <w:sz w:val="32"/>
                <w:szCs w:val="32"/>
              </w:rPr>
              <w:t>90%</w:t>
            </w:r>
          </w:p>
        </w:tc>
      </w:tr>
    </w:tbl>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lang w:val="en-US" w:eastAsia="zh-CN"/>
        </w:rPr>
        <w:t>结构完整</w:t>
      </w:r>
      <w:r>
        <w:rPr>
          <w:rFonts w:hint="eastAsia" w:ascii="宋体" w:hAnsi="宋体" w:eastAsia="宋体" w:cs="宋体"/>
          <w:color w:val="auto"/>
          <w:kern w:val="0"/>
          <w:sz w:val="32"/>
          <w:szCs w:val="32"/>
          <w:lang w:val="en-US" w:eastAsia="zh-CN"/>
        </w:rPr>
        <w:t>且使用功能齐全的简易用房补偿价格参照住宅房屋主体房屋类型降一档执行，最低补偿价格不低于砖木补偿标准</w:t>
      </w:r>
      <w:r>
        <w:rPr>
          <w:rFonts w:hint="eastAsia" w:ascii="宋体" w:hAnsi="宋体" w:eastAsia="宋体" w:cs="宋体"/>
          <w:color w:val="auto"/>
          <w:kern w:val="0"/>
          <w:sz w:val="32"/>
          <w:szCs w:val="32"/>
        </w:rPr>
        <w:t>。</w:t>
      </w:r>
    </w:p>
    <w:p>
      <w:pPr>
        <w:pStyle w:val="2"/>
        <w:numPr>
          <w:ilvl w:val="0"/>
          <w:numId w:val="0"/>
        </w:numPr>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lang w:val="en-US" w:eastAsia="zh-CN"/>
        </w:rPr>
        <w:t>2.</w:t>
      </w:r>
      <w:r>
        <w:rPr>
          <w:rFonts w:hint="eastAsia" w:ascii="宋体" w:hAnsi="宋体" w:eastAsia="宋体" w:cs="宋体"/>
          <w:color w:val="auto"/>
          <w:kern w:val="0"/>
          <w:sz w:val="32"/>
          <w:szCs w:val="32"/>
        </w:rPr>
        <w:t>非住宅房屋按征收时评估价给予货币补偿。</w:t>
      </w:r>
    </w:p>
    <w:p>
      <w:pPr>
        <w:pStyle w:val="2"/>
        <w:numPr>
          <w:ilvl w:val="0"/>
          <w:numId w:val="0"/>
        </w:numPr>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lang w:val="en-US" w:eastAsia="zh-CN"/>
        </w:rPr>
        <w:t>3</w:t>
      </w:r>
      <w:r>
        <w:rPr>
          <w:rFonts w:hint="eastAsia" w:ascii="宋体" w:hAnsi="宋体" w:eastAsia="宋体" w:cs="宋体"/>
          <w:color w:val="auto"/>
          <w:kern w:val="0"/>
          <w:sz w:val="32"/>
          <w:szCs w:val="32"/>
        </w:rPr>
        <w:t>.按照房地合一的补偿原则。办理了国有出让用地手续（工业用地除外）的土地，其登记面积中房屋占地面积部分补偿当时办证费用，房屋占地面积以外部分按950元/㎡ 给予补偿；办理了国有划拨用地手续的土地，剔除房屋占地面 积，按475元/㎡给予补偿；无任何手续的房前屋后空地按照100元/㎡给予补偿。</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lang w:val="en-US" w:eastAsia="zh-CN"/>
        </w:rPr>
        <w:t>4</w:t>
      </w:r>
      <w:r>
        <w:rPr>
          <w:rFonts w:hint="eastAsia" w:ascii="宋体" w:hAnsi="宋体" w:eastAsia="宋体" w:cs="宋体"/>
          <w:color w:val="auto"/>
          <w:kern w:val="0"/>
          <w:sz w:val="32"/>
          <w:szCs w:val="32"/>
        </w:rPr>
        <w:t>.被征收房屋主体建筑面积不足55㎡的，且属于被征收人唯一一套住房的，可按照55㎡进行货币补偿。</w:t>
      </w:r>
    </w:p>
    <w:p>
      <w:pPr>
        <w:adjustRightInd w:val="0"/>
        <w:snapToGrid w:val="0"/>
        <w:spacing w:line="576" w:lineRule="exact"/>
        <w:ind w:left="319" w:leftChars="152" w:firstLine="320" w:firstLineChars="100"/>
        <w:rPr>
          <w:rFonts w:hint="eastAsia" w:ascii="宋体" w:hAnsi="宋体" w:eastAsia="宋体" w:cs="宋体"/>
          <w:color w:val="auto"/>
          <w:kern w:val="0"/>
          <w:sz w:val="32"/>
          <w:szCs w:val="32"/>
        </w:rPr>
      </w:pPr>
      <w:r>
        <w:rPr>
          <w:rFonts w:hint="eastAsia" w:ascii="宋体" w:hAnsi="宋体" w:eastAsia="宋体" w:cs="宋体"/>
          <w:color w:val="auto"/>
          <w:kern w:val="0"/>
          <w:sz w:val="32"/>
          <w:szCs w:val="32"/>
          <w:lang w:val="en-US" w:eastAsia="zh-CN"/>
        </w:rPr>
        <w:t>5</w:t>
      </w:r>
      <w:r>
        <w:rPr>
          <w:rFonts w:hint="eastAsia" w:ascii="宋体" w:hAnsi="宋体" w:eastAsia="宋体" w:cs="宋体"/>
          <w:color w:val="auto"/>
          <w:kern w:val="0"/>
          <w:sz w:val="32"/>
          <w:szCs w:val="32"/>
        </w:rPr>
        <w:t>.为进一步让利于民，在城南、城北提供一批政府</w:t>
      </w:r>
      <w:r>
        <w:rPr>
          <w:rFonts w:hint="eastAsia" w:ascii="宋体" w:hAnsi="宋体" w:eastAsia="宋体" w:cs="宋体"/>
          <w:color w:val="auto"/>
          <w:kern w:val="0"/>
          <w:sz w:val="32"/>
          <w:szCs w:val="32"/>
          <w:lang w:val="en-US" w:eastAsia="zh-CN"/>
        </w:rPr>
        <w:t>安置</w:t>
      </w:r>
      <w:r>
        <w:rPr>
          <w:rFonts w:hint="eastAsia" w:ascii="宋体" w:hAnsi="宋体" w:eastAsia="宋体" w:cs="宋体"/>
          <w:color w:val="auto"/>
          <w:kern w:val="0"/>
          <w:sz w:val="32"/>
          <w:szCs w:val="32"/>
        </w:rPr>
        <w:t>房供本次选择一次性货币补偿的被征收人自愿</w:t>
      </w:r>
      <w:r>
        <w:rPr>
          <w:rFonts w:hint="eastAsia" w:ascii="宋体" w:hAnsi="宋体" w:eastAsia="宋体" w:cs="宋体"/>
          <w:color w:val="auto"/>
          <w:kern w:val="0"/>
          <w:sz w:val="32"/>
          <w:szCs w:val="32"/>
          <w:lang w:val="en-US" w:eastAsia="zh-CN"/>
        </w:rPr>
        <w:t>选择置换</w:t>
      </w:r>
      <w:r>
        <w:rPr>
          <w:rFonts w:hint="eastAsia" w:ascii="宋体" w:hAnsi="宋体" w:eastAsia="宋体" w:cs="宋体"/>
          <w:color w:val="auto"/>
          <w:kern w:val="0"/>
          <w:sz w:val="32"/>
          <w:szCs w:val="32"/>
        </w:rPr>
        <w:t>。</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房屋性质：国有出让土地住宅。</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房型面积：</w:t>
      </w:r>
      <w:r>
        <w:rPr>
          <w:rFonts w:hint="eastAsia" w:ascii="宋体" w:hAnsi="宋体" w:eastAsia="宋体" w:cs="宋体"/>
          <w:color w:val="auto"/>
          <w:kern w:val="0"/>
          <w:sz w:val="32"/>
          <w:szCs w:val="32"/>
          <w:lang w:val="en-US" w:eastAsia="zh-CN"/>
        </w:rPr>
        <w:t>75</w:t>
      </w:r>
      <w:r>
        <w:rPr>
          <w:rFonts w:hint="eastAsia" w:ascii="宋体" w:hAnsi="宋体" w:eastAsia="宋体" w:cs="宋体"/>
          <w:color w:val="auto"/>
          <w:kern w:val="0"/>
          <w:sz w:val="32"/>
          <w:szCs w:val="32"/>
        </w:rPr>
        <w:t>—1</w:t>
      </w:r>
      <w:r>
        <w:rPr>
          <w:rFonts w:hint="eastAsia" w:ascii="宋体" w:hAnsi="宋体" w:eastAsia="宋体" w:cs="宋体"/>
          <w:color w:val="auto"/>
          <w:kern w:val="0"/>
          <w:sz w:val="32"/>
          <w:szCs w:val="32"/>
          <w:lang w:val="en-US" w:eastAsia="zh-CN"/>
        </w:rPr>
        <w:t>50</w:t>
      </w:r>
      <w:r>
        <w:rPr>
          <w:rFonts w:hint="eastAsia" w:ascii="宋体" w:hAnsi="宋体" w:eastAsia="宋体" w:cs="宋体"/>
          <w:color w:val="auto"/>
          <w:kern w:val="0"/>
          <w:sz w:val="32"/>
          <w:szCs w:val="32"/>
        </w:rPr>
        <w:t>㎡。</w:t>
      </w:r>
    </w:p>
    <w:p>
      <w:pPr>
        <w:adjustRightInd w:val="0"/>
        <w:snapToGrid w:val="0"/>
        <w:spacing w:line="576" w:lineRule="exact"/>
        <w:ind w:firstLine="643" w:firstLineChars="200"/>
        <w:rPr>
          <w:rFonts w:hint="eastAsia" w:ascii="宋体" w:hAnsi="宋体" w:eastAsia="宋体" w:cs="宋体"/>
          <w:b/>
          <w:bCs/>
          <w:color w:val="auto"/>
          <w:kern w:val="0"/>
          <w:sz w:val="32"/>
          <w:szCs w:val="32"/>
          <w:lang w:val="en-US" w:eastAsia="zh-CN"/>
        </w:rPr>
      </w:pPr>
    </w:p>
    <w:p>
      <w:pPr>
        <w:adjustRightInd w:val="0"/>
        <w:snapToGrid w:val="0"/>
        <w:spacing w:line="576" w:lineRule="exact"/>
        <w:ind w:firstLine="643" w:firstLineChars="200"/>
        <w:rPr>
          <w:rFonts w:hint="eastAsia" w:ascii="宋体" w:hAnsi="宋体" w:eastAsia="宋体" w:cs="宋体"/>
          <w:color w:val="auto"/>
          <w:kern w:val="0"/>
          <w:sz w:val="32"/>
          <w:szCs w:val="32"/>
        </w:rPr>
      </w:pPr>
      <w:r>
        <w:rPr>
          <w:rFonts w:hint="eastAsia" w:ascii="宋体" w:hAnsi="宋体" w:eastAsia="宋体" w:cs="宋体"/>
          <w:b/>
          <w:bCs/>
          <w:color w:val="auto"/>
          <w:kern w:val="0"/>
          <w:sz w:val="32"/>
          <w:szCs w:val="32"/>
          <w:lang w:val="en-US" w:eastAsia="zh-CN"/>
        </w:rPr>
        <w:t>（二）</w:t>
      </w:r>
      <w:r>
        <w:rPr>
          <w:rFonts w:hint="eastAsia" w:ascii="宋体" w:hAnsi="宋体" w:eastAsia="宋体" w:cs="宋体"/>
          <w:b/>
          <w:bCs/>
          <w:color w:val="auto"/>
          <w:kern w:val="0"/>
          <w:sz w:val="32"/>
          <w:szCs w:val="32"/>
        </w:rPr>
        <w:t>选择产权置换安置</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1.安置房地址：安置房位于</w:t>
      </w:r>
      <w:r>
        <w:rPr>
          <w:rFonts w:hint="eastAsia" w:ascii="宋体" w:hAnsi="宋体" w:eastAsia="宋体" w:cs="宋体"/>
          <w:color w:val="auto"/>
          <w:sz w:val="32"/>
          <w:szCs w:val="32"/>
        </w:rPr>
        <w:t>弋阳县东兴大道以西、东站大道以北地块</w:t>
      </w:r>
      <w:r>
        <w:rPr>
          <w:rFonts w:hint="eastAsia" w:ascii="宋体" w:hAnsi="宋体" w:eastAsia="宋体" w:cs="宋体"/>
          <w:color w:val="auto"/>
          <w:kern w:val="0"/>
          <w:sz w:val="32"/>
          <w:szCs w:val="32"/>
        </w:rPr>
        <w:t>。</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房型面积：主要以</w:t>
      </w:r>
      <w:r>
        <w:rPr>
          <w:rFonts w:hint="eastAsia" w:ascii="宋体" w:hAnsi="宋体" w:eastAsia="宋体" w:cs="宋体"/>
          <w:color w:val="auto"/>
          <w:kern w:val="0"/>
          <w:sz w:val="32"/>
          <w:szCs w:val="32"/>
          <w:lang w:val="en-US" w:eastAsia="zh-CN"/>
        </w:rPr>
        <w:t>75-150</w:t>
      </w:r>
      <w:r>
        <w:rPr>
          <w:rFonts w:hint="eastAsia" w:ascii="宋体" w:hAnsi="宋体" w:eastAsia="宋体" w:cs="宋体"/>
          <w:color w:val="auto"/>
          <w:kern w:val="0"/>
          <w:sz w:val="32"/>
          <w:szCs w:val="32"/>
        </w:rPr>
        <w:t>㎡为主。安置房建筑面积最终以实际</w:t>
      </w:r>
      <w:r>
        <w:rPr>
          <w:rFonts w:hint="eastAsia" w:ascii="宋体" w:hAnsi="宋体" w:eastAsia="宋体" w:cs="宋体"/>
          <w:color w:val="auto"/>
          <w:kern w:val="0"/>
          <w:sz w:val="32"/>
          <w:szCs w:val="32"/>
          <w:lang w:val="en-US" w:eastAsia="zh-CN"/>
        </w:rPr>
        <w:t>房源</w:t>
      </w:r>
      <w:r>
        <w:rPr>
          <w:rFonts w:hint="eastAsia" w:ascii="宋体" w:hAnsi="宋体" w:eastAsia="宋体" w:cs="宋体"/>
          <w:color w:val="auto"/>
          <w:kern w:val="0"/>
          <w:sz w:val="32"/>
          <w:szCs w:val="32"/>
        </w:rPr>
        <w:t>测绘数据为准。</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2.选择产权置换的，考虑到安置房存在公摊面积，安置房的建筑面积按照下列系数进行折算：</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（1）被征收主体房屋总层数为一层的，置换的建筑面积面积：砖木结构房屋按1:1.5折算；砖混和框架结构房屋按1:1.55折算。</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（２）被征收主体房屋总层数为二层的，置换的建筑面积面积：砖木结构房屋按1:1.4折算；砖混和框架结构房屋按1:1.45折算。</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（3）被征收主体房屋总层数为三层以上的（含三层），置换的建筑面积面积按1:1.16折算。</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（4）房屋隔热层、屋顶上的楼梯间、杂物间以及自建房的地下室、架空层根据房产测量规范（第九条第3款方法计算）可计算房屋建筑面积的部分按1:1</w:t>
      </w:r>
      <w:r>
        <w:rPr>
          <w:rFonts w:hint="eastAsia" w:ascii="宋体" w:hAnsi="宋体" w:eastAsia="宋体" w:cs="宋体"/>
          <w:color w:val="auto"/>
          <w:kern w:val="0"/>
          <w:sz w:val="32"/>
          <w:szCs w:val="32"/>
          <w:lang w:val="en-US" w:eastAsia="zh-CN"/>
        </w:rPr>
        <w:t>.4</w:t>
      </w:r>
      <w:r>
        <w:rPr>
          <w:rFonts w:hint="eastAsia" w:ascii="宋体" w:hAnsi="宋体" w:eastAsia="宋体" w:cs="宋体"/>
          <w:color w:val="auto"/>
          <w:kern w:val="0"/>
          <w:sz w:val="32"/>
          <w:szCs w:val="32"/>
        </w:rPr>
        <w:t>折算，隔热层不计算层数。</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（5）仅有地脚梁的，按照征收时评估价给予货币补偿，但不得购买政府</w:t>
      </w:r>
      <w:r>
        <w:rPr>
          <w:rFonts w:hint="eastAsia" w:ascii="宋体" w:hAnsi="宋体" w:eastAsia="宋体" w:cs="宋体"/>
          <w:color w:val="auto"/>
          <w:kern w:val="0"/>
          <w:sz w:val="32"/>
          <w:szCs w:val="32"/>
          <w:lang w:val="en-US" w:eastAsia="zh-CN"/>
        </w:rPr>
        <w:t>安置</w:t>
      </w:r>
      <w:r>
        <w:rPr>
          <w:rFonts w:hint="eastAsia" w:ascii="宋体" w:hAnsi="宋体" w:eastAsia="宋体" w:cs="宋体"/>
          <w:color w:val="auto"/>
          <w:kern w:val="0"/>
          <w:sz w:val="32"/>
          <w:szCs w:val="32"/>
        </w:rPr>
        <w:t>房，经审核符合条件的，可以享受片区完成签约奖，但不享受其他奖励。</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3.安置房建筑面积原则上不能超过被征收房屋主体实际置换后的建筑面积（选购第二套时剩余面积未达到</w:t>
      </w:r>
      <w:r>
        <w:rPr>
          <w:rFonts w:hint="eastAsia" w:ascii="宋体" w:hAnsi="宋体" w:eastAsia="宋体" w:cs="宋体"/>
          <w:color w:val="auto"/>
          <w:kern w:val="0"/>
          <w:sz w:val="32"/>
          <w:szCs w:val="32"/>
          <w:lang w:val="en-US" w:eastAsia="zh-CN"/>
        </w:rPr>
        <w:t>安置</w:t>
      </w:r>
      <w:r>
        <w:rPr>
          <w:rFonts w:hint="eastAsia" w:ascii="宋体" w:hAnsi="宋体" w:eastAsia="宋体" w:cs="宋体"/>
          <w:color w:val="auto"/>
          <w:kern w:val="0"/>
          <w:sz w:val="32"/>
          <w:szCs w:val="32"/>
        </w:rPr>
        <w:t>房面积的70%，将不予以置换）。被征收户房屋多余建筑面积（按相应置换比例置换回来的建筑面积）按货币补偿方案结算，但不享受18%签约奖以及相关托底保障政策。</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4.户型选择实行面积就近原则，置换面积以最后测绘数据为准，置换面积超出部分按4800元/㎡价格购买。不足房源由征收部门统一调剂安置房供被征收人选择。</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5.被征收房屋建筑面积不足55㎡的，且属于被征收人唯一一套住房的，按照相应层数和结构系数进行折算置换，如折算后仍不足55㎡按55㎡进行置换。</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6.置换安置房的建筑面积以房产实测面积为准，有面积差的按第3、4款执行补齐差价。</w:t>
      </w:r>
    </w:p>
    <w:p>
      <w:pPr>
        <w:adjustRightInd w:val="0"/>
        <w:snapToGrid w:val="0"/>
        <w:spacing w:line="576" w:lineRule="exact"/>
        <w:ind w:firstLine="640" w:firstLineChars="200"/>
        <w:rPr>
          <w:rFonts w:hint="eastAsia" w:ascii="宋体" w:hAnsi="宋体" w:eastAsia="宋体" w:cs="宋体"/>
          <w:color w:val="auto"/>
          <w:sz w:val="32"/>
          <w:szCs w:val="32"/>
        </w:rPr>
      </w:pPr>
      <w:r>
        <w:rPr>
          <w:rFonts w:hint="eastAsia" w:ascii="宋体" w:hAnsi="宋体" w:eastAsia="宋体" w:cs="宋体"/>
          <w:color w:val="auto"/>
          <w:kern w:val="0"/>
          <w:sz w:val="32"/>
          <w:szCs w:val="32"/>
        </w:rPr>
        <w:t>7.选择产权置换的被征收户须配合有关部门办理相关置换手续。安置房产权初始登记人必须为被征收人，不得更换，但属于被征收户直系亲属除外。</w:t>
      </w:r>
    </w:p>
    <w:p>
      <w:pPr>
        <w:adjustRightInd w:val="0"/>
        <w:snapToGrid w:val="0"/>
        <w:spacing w:line="576" w:lineRule="exact"/>
        <w:ind w:firstLine="643" w:firstLineChars="200"/>
        <w:rPr>
          <w:rFonts w:hint="eastAsia" w:ascii="宋体" w:hAnsi="宋体" w:eastAsia="宋体" w:cs="宋体"/>
          <w:b/>
          <w:bCs/>
          <w:color w:val="auto"/>
          <w:kern w:val="0"/>
          <w:sz w:val="32"/>
          <w:szCs w:val="32"/>
        </w:rPr>
      </w:pPr>
      <w:r>
        <w:rPr>
          <w:rFonts w:hint="eastAsia" w:ascii="宋体" w:hAnsi="宋体" w:eastAsia="宋体" w:cs="宋体"/>
          <w:b/>
          <w:bCs/>
          <w:color w:val="auto"/>
          <w:kern w:val="0"/>
          <w:sz w:val="32"/>
          <w:szCs w:val="32"/>
          <w:lang w:val="en-US" w:eastAsia="zh-CN"/>
        </w:rPr>
        <w:t>七、</w:t>
      </w:r>
      <w:r>
        <w:rPr>
          <w:rFonts w:hint="eastAsia" w:ascii="宋体" w:hAnsi="宋体" w:eastAsia="宋体" w:cs="宋体"/>
          <w:b/>
          <w:bCs/>
          <w:color w:val="auto"/>
          <w:kern w:val="0"/>
          <w:sz w:val="32"/>
          <w:szCs w:val="32"/>
        </w:rPr>
        <w:t>补偿范围、标准和计算方法</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1.补偿范围：</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（1）被征收房屋价值的补偿（含装饰装修）。</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（2）因征收房屋造成的搬迁费、临时安置费的补偿。</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（3）因征收房屋造成的停产停业损失的补偿。</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2.补偿标准：</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（1）附属物及构筑物补偿标准详见附</w:t>
      </w:r>
      <w:r>
        <w:rPr>
          <w:rFonts w:hint="eastAsia" w:ascii="宋体" w:hAnsi="宋体" w:eastAsia="宋体" w:cs="宋体"/>
          <w:color w:val="auto"/>
          <w:kern w:val="0"/>
          <w:sz w:val="32"/>
          <w:szCs w:val="32"/>
          <w:lang w:val="en-US" w:eastAsia="zh-CN"/>
        </w:rPr>
        <w:t>表1</w:t>
      </w:r>
      <w:r>
        <w:rPr>
          <w:rFonts w:hint="eastAsia" w:ascii="宋体" w:hAnsi="宋体" w:eastAsia="宋体" w:cs="宋体"/>
          <w:color w:val="auto"/>
          <w:kern w:val="0"/>
          <w:sz w:val="32"/>
          <w:szCs w:val="32"/>
        </w:rPr>
        <w:t>。</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（2）装饰装修补偿标准由评估机构进行评估确定（补偿项目见附</w:t>
      </w:r>
      <w:r>
        <w:rPr>
          <w:rFonts w:hint="eastAsia" w:ascii="宋体" w:hAnsi="宋体" w:eastAsia="宋体" w:cs="宋体"/>
          <w:color w:val="auto"/>
          <w:kern w:val="0"/>
          <w:sz w:val="32"/>
          <w:szCs w:val="32"/>
          <w:lang w:val="en-US" w:eastAsia="zh-CN"/>
        </w:rPr>
        <w:t>表2</w:t>
      </w:r>
      <w:r>
        <w:rPr>
          <w:rFonts w:hint="eastAsia" w:ascii="宋体" w:hAnsi="宋体" w:eastAsia="宋体" w:cs="宋体"/>
          <w:color w:val="auto"/>
          <w:kern w:val="0"/>
          <w:sz w:val="32"/>
          <w:szCs w:val="32"/>
        </w:rPr>
        <w:t>）。</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（3）停业补助（营业房）：</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被征收房屋中认定为营业房部分按面积每月每平方米40元标准补助，补助期限为6个月。补偿对象为营业房产权所有人，承租人的停业停产损失由房屋所有权人与承租户自行协商解决，协商好后再拨付补偿款。</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被征收房屋一楼用于生产经营的，相关证照齐全且经营两年以上的，可对一楼前部认定为经营性用房，最大面积不超过99m</w:t>
      </w:r>
      <w:r>
        <w:rPr>
          <w:rFonts w:hint="eastAsia" w:ascii="宋体" w:hAnsi="宋体" w:eastAsia="宋体" w:cs="宋体"/>
          <w:color w:val="auto"/>
          <w:kern w:val="0"/>
          <w:sz w:val="32"/>
          <w:szCs w:val="32"/>
          <w:vertAlign w:val="superscript"/>
        </w:rPr>
        <w:t>2</w:t>
      </w:r>
      <w:r>
        <w:rPr>
          <w:rFonts w:hint="eastAsia" w:ascii="宋体" w:hAnsi="宋体" w:eastAsia="宋体" w:cs="宋体"/>
          <w:color w:val="auto"/>
          <w:kern w:val="0"/>
          <w:sz w:val="32"/>
          <w:szCs w:val="32"/>
        </w:rPr>
        <w:t>。</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3.面积计算方法：</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被征收房屋的建筑面积以房屋所有权证或者其他合法房产凭证记载的建筑面积为准，按照“尊重现实、尊重历史”的原则，结合现场实际丈量面积计算。房屋建筑面积测算由专业测绘机构按照国家《房产测量规范》计算。</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阁楼（结构底板为混凝土板）的建筑面积按以下规则计算，所得面积计算为房屋正房面积。</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①楼层檐口平均高度2.20m（含2.20m，下同）以上按建筑面积的100%计算。</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②楼层檐口平均高度1.80m至2.19m按建筑面积的70%计算。</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③楼层檐口平均高度1.30m至1.79m按建筑面积的50%计算。</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④楼层檐口平均高度1.30m以下（不含1.30m）按建筑面积的30%计算。</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地下室的建筑面积按以下规则计算，所得面积计算为房屋正房面积。</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其建筑面积计算方式为：地下室层高在2.20m（含2.20m）以上的按建筑面积的100%计算，1.80m至2.19m按建筑面积的70%计算，1.30m至1.79m按建筑面积的50%计算，1.30m以下按建筑面积的30%计算。</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4.特殊住宅房的规定：</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1）住宅房改为非住宅使用的：一楼沿街住宅房未经相关部门批准改为非住宅使用的，但相关证照齐全，并正在营业二年以上的一楼前部经营使用面积部分，可在房屋补偿金额上上浮40%。其他区域及楼层，仍按住宅房屋补偿办法执行。</w:t>
      </w:r>
    </w:p>
    <w:p>
      <w:pPr>
        <w:adjustRightInd w:val="0"/>
        <w:snapToGrid w:val="0"/>
        <w:spacing w:line="576" w:lineRule="exact"/>
        <w:ind w:firstLine="640" w:firstLineChars="200"/>
        <w:rPr>
          <w:rFonts w:hint="eastAsia" w:ascii="宋体" w:hAnsi="宋体" w:eastAsia="宋体" w:cs="宋体"/>
          <w:color w:val="auto"/>
          <w:sz w:val="32"/>
          <w:szCs w:val="32"/>
        </w:rPr>
      </w:pPr>
      <w:r>
        <w:rPr>
          <w:rFonts w:hint="eastAsia" w:ascii="宋体" w:hAnsi="宋体" w:eastAsia="宋体" w:cs="宋体"/>
          <w:color w:val="auto"/>
          <w:kern w:val="0"/>
          <w:sz w:val="32"/>
          <w:szCs w:val="32"/>
        </w:rPr>
        <w:t>（2）房屋主体完工，但未安装门窗、水电及粉刷未到位的，按同结构房屋补偿标准扣15%（其中门窗未安装扣6%;未粉刷扣6%；水电未到位扣3%）。</w:t>
      </w:r>
    </w:p>
    <w:p>
      <w:pPr>
        <w:adjustRightInd w:val="0"/>
        <w:snapToGrid w:val="0"/>
        <w:spacing w:line="576" w:lineRule="exact"/>
        <w:ind w:firstLine="643" w:firstLineChars="200"/>
        <w:rPr>
          <w:rFonts w:hint="eastAsia" w:ascii="宋体" w:hAnsi="宋体" w:eastAsia="宋体" w:cs="宋体"/>
          <w:b/>
          <w:bCs/>
          <w:color w:val="auto"/>
          <w:kern w:val="0"/>
          <w:sz w:val="32"/>
          <w:szCs w:val="32"/>
        </w:rPr>
      </w:pPr>
      <w:r>
        <w:rPr>
          <w:rFonts w:hint="eastAsia" w:ascii="宋体" w:hAnsi="宋体" w:eastAsia="宋体" w:cs="宋体"/>
          <w:b/>
          <w:bCs/>
          <w:color w:val="auto"/>
          <w:kern w:val="0"/>
          <w:sz w:val="32"/>
          <w:szCs w:val="32"/>
          <w:lang w:val="en-US" w:eastAsia="zh-CN"/>
        </w:rPr>
        <w:t>八、</w:t>
      </w:r>
      <w:r>
        <w:rPr>
          <w:rFonts w:hint="eastAsia" w:ascii="宋体" w:hAnsi="宋体" w:eastAsia="宋体" w:cs="宋体"/>
          <w:b/>
          <w:bCs/>
          <w:color w:val="auto"/>
          <w:kern w:val="0"/>
          <w:sz w:val="32"/>
          <w:szCs w:val="32"/>
        </w:rPr>
        <w:t>搬迁费、临时安置费</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1.搬迁费：按被征收人的房屋主体建筑面积10元/㎡予以补偿，最低不少于2000元/户。</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2.临时安置费（不含非住宅）：被征收房屋主体建筑面积在150㎡以内的按每月1000元补偿，超过150㎡以上的部分按每月4元/㎡补偿。选择货币化补偿的安置期限为12个月。选择产权置换的安置期限为12个月，超过12个月的，自逾期之日起按原标准1.5倍支付临时安置费；逾期超过12个月的，从超过之日起按原标准2倍支付临时安置费。逾期临时安置费交房时一并结清。</w:t>
      </w:r>
    </w:p>
    <w:p>
      <w:pPr>
        <w:adjustRightInd w:val="0"/>
        <w:snapToGrid w:val="0"/>
        <w:spacing w:line="576" w:lineRule="exact"/>
        <w:ind w:firstLine="640" w:firstLineChars="200"/>
        <w:rPr>
          <w:rFonts w:hint="eastAsia" w:ascii="宋体" w:hAnsi="宋体" w:eastAsia="宋体" w:cs="宋体"/>
          <w:color w:val="auto"/>
          <w:sz w:val="32"/>
          <w:szCs w:val="32"/>
        </w:rPr>
      </w:pPr>
      <w:r>
        <w:rPr>
          <w:rFonts w:hint="eastAsia" w:ascii="宋体" w:hAnsi="宋体" w:eastAsia="宋体" w:cs="宋体"/>
          <w:color w:val="auto"/>
          <w:kern w:val="0"/>
          <w:sz w:val="32"/>
          <w:szCs w:val="32"/>
        </w:rPr>
        <w:t>3.特殊生产设备拆装、搬迁的补偿费用另行评估确定</w:t>
      </w:r>
      <w:r>
        <w:rPr>
          <w:rFonts w:hint="eastAsia" w:ascii="宋体" w:hAnsi="宋体" w:eastAsia="宋体" w:cs="宋体"/>
          <w:color w:val="auto"/>
          <w:sz w:val="32"/>
          <w:szCs w:val="32"/>
        </w:rPr>
        <w:t>。</w:t>
      </w:r>
    </w:p>
    <w:p>
      <w:pPr>
        <w:adjustRightInd w:val="0"/>
        <w:snapToGrid w:val="0"/>
        <w:spacing w:line="576" w:lineRule="exact"/>
        <w:ind w:firstLine="643" w:firstLineChars="200"/>
        <w:rPr>
          <w:rFonts w:hint="eastAsia" w:ascii="宋体" w:hAnsi="宋体" w:eastAsia="宋体" w:cs="宋体"/>
          <w:b/>
          <w:bCs/>
          <w:color w:val="auto"/>
          <w:kern w:val="0"/>
          <w:sz w:val="32"/>
          <w:szCs w:val="32"/>
        </w:rPr>
      </w:pPr>
      <w:r>
        <w:rPr>
          <w:rFonts w:hint="eastAsia" w:ascii="宋体" w:hAnsi="宋体" w:eastAsia="宋体" w:cs="宋体"/>
          <w:b/>
          <w:bCs/>
          <w:color w:val="auto"/>
          <w:kern w:val="0"/>
          <w:sz w:val="32"/>
          <w:szCs w:val="32"/>
          <w:lang w:val="en-US" w:eastAsia="zh-CN"/>
        </w:rPr>
        <w:t>九、</w:t>
      </w:r>
      <w:r>
        <w:rPr>
          <w:rFonts w:hint="eastAsia" w:ascii="宋体" w:hAnsi="宋体" w:eastAsia="宋体" w:cs="宋体"/>
          <w:b/>
          <w:bCs/>
          <w:color w:val="auto"/>
          <w:kern w:val="0"/>
          <w:sz w:val="32"/>
          <w:szCs w:val="32"/>
        </w:rPr>
        <w:t>补助和奖励及优惠政策</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在预征收期间及征收决定公告规定的签约期限内签订征收补偿协议并按规定时间搬空交付拆除，选择货币化安置方式的被征收户，可享受以下奖励、补助与优惠政策。</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1.住房困难。</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征收对象被征收房屋总建筑面积不足55㎡，且只有此唯一住房的低收入住房困难家庭（低保或五保户）可选择按照实际面积给予补偿（不享受任何签约奖励），经主管部门审核通过后可以给予公租房保障。</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lang w:val="en-US" w:eastAsia="zh-CN"/>
        </w:rPr>
        <w:t>2</w:t>
      </w:r>
      <w:r>
        <w:rPr>
          <w:rFonts w:hint="eastAsia" w:ascii="宋体" w:hAnsi="宋体" w:eastAsia="宋体" w:cs="宋体"/>
          <w:color w:val="auto"/>
          <w:kern w:val="0"/>
          <w:sz w:val="32"/>
          <w:szCs w:val="32"/>
        </w:rPr>
        <w:t>.搬迁进度奖。</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为了让房屋被征收人最大额度的享受该进度奖，被征收人可以在发布征收决定公告前开始与征收部门签订预征收补偿协议。如果在预征收期间签订房屋征收协议并搬空交房的，征收对象被征收房屋（正房）总面积不足200㎡的，按200 ㎡计算奖励（全额</w:t>
      </w:r>
      <w:r>
        <w:rPr>
          <w:rFonts w:hint="eastAsia" w:ascii="宋体" w:hAnsi="宋体" w:eastAsia="宋体" w:cs="宋体"/>
          <w:color w:val="auto"/>
          <w:kern w:val="0"/>
          <w:sz w:val="32"/>
          <w:szCs w:val="32"/>
          <w:lang w:val="en-US" w:eastAsia="zh-CN"/>
        </w:rPr>
        <w:t>4</w:t>
      </w:r>
      <w:r>
        <w:rPr>
          <w:rFonts w:hint="eastAsia" w:ascii="宋体" w:hAnsi="宋体" w:eastAsia="宋体" w:cs="宋体"/>
          <w:color w:val="auto"/>
          <w:kern w:val="0"/>
          <w:sz w:val="32"/>
          <w:szCs w:val="32"/>
        </w:rPr>
        <w:t>万元）。</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超过征收决定公告发布之日30天签约的不给予奖励。</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lang w:val="en-US" w:eastAsia="zh-CN"/>
        </w:rPr>
        <w:t>3</w:t>
      </w:r>
      <w:r>
        <w:rPr>
          <w:rFonts w:hint="eastAsia" w:ascii="宋体" w:hAnsi="宋体" w:eastAsia="宋体" w:cs="宋体"/>
          <w:color w:val="auto"/>
          <w:kern w:val="0"/>
          <w:sz w:val="32"/>
          <w:szCs w:val="32"/>
        </w:rPr>
        <w:t>.免征个人所得税及契税优惠。</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被征收人取得的货币补偿款免征个人所得税；重新购买住房的，对购房成交价中相当于货币补偿款的部分免征契税。选择产权置换的，</w:t>
      </w:r>
      <w:r>
        <w:rPr>
          <w:rFonts w:hint="eastAsia" w:ascii="宋体" w:hAnsi="宋体" w:eastAsia="宋体" w:cs="宋体"/>
          <w:color w:val="auto"/>
          <w:kern w:val="0"/>
          <w:sz w:val="32"/>
          <w:szCs w:val="32"/>
          <w:lang w:val="en-US" w:eastAsia="zh-CN"/>
        </w:rPr>
        <w:t>同等面积</w:t>
      </w:r>
      <w:r>
        <w:rPr>
          <w:rFonts w:hint="eastAsia" w:ascii="宋体" w:hAnsi="宋体" w:eastAsia="宋体" w:cs="宋体"/>
          <w:color w:val="auto"/>
          <w:kern w:val="0"/>
          <w:sz w:val="32"/>
          <w:szCs w:val="32"/>
        </w:rPr>
        <w:t>安置房办理不动产证免征契税。</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lang w:val="en-US" w:eastAsia="zh-CN"/>
        </w:rPr>
        <w:t>4</w:t>
      </w:r>
      <w:r>
        <w:rPr>
          <w:rFonts w:hint="eastAsia" w:ascii="宋体" w:hAnsi="宋体" w:eastAsia="宋体" w:cs="宋体"/>
          <w:color w:val="auto"/>
          <w:kern w:val="0"/>
          <w:sz w:val="32"/>
          <w:szCs w:val="32"/>
        </w:rPr>
        <w:t>.片区完成签约奖。</w:t>
      </w:r>
    </w:p>
    <w:p>
      <w:pPr>
        <w:adjustRightInd w:val="0"/>
        <w:snapToGrid w:val="0"/>
        <w:spacing w:line="576" w:lineRule="exact"/>
        <w:ind w:firstLine="640" w:firstLineChars="200"/>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此次征收片区内所有被征收户在公告期间内全部完成签约的，政府将一次性给予每户30000元奖励。</w:t>
      </w:r>
    </w:p>
    <w:p>
      <w:pPr>
        <w:ind w:firstLine="640" w:firstLineChars="200"/>
        <w:rPr>
          <w:rFonts w:hint="default" w:ascii="宋体" w:hAnsi="宋体" w:eastAsia="宋体" w:cs="宋体"/>
          <w:color w:val="auto"/>
          <w:kern w:val="0"/>
          <w:sz w:val="32"/>
          <w:szCs w:val="32"/>
          <w:lang w:val="en-US" w:eastAsia="zh-CN"/>
        </w:rPr>
      </w:pPr>
      <w:r>
        <w:rPr>
          <w:rFonts w:hint="eastAsia" w:ascii="宋体" w:hAnsi="宋体" w:eastAsia="宋体" w:cs="宋体"/>
          <w:color w:val="auto"/>
          <w:kern w:val="0"/>
          <w:sz w:val="32"/>
          <w:szCs w:val="32"/>
          <w:lang w:val="en-US" w:eastAsia="zh-CN"/>
        </w:rPr>
        <w:t>5</w:t>
      </w:r>
      <w:r>
        <w:rPr>
          <w:rFonts w:hint="eastAsia" w:ascii="宋体" w:hAnsi="宋体" w:eastAsia="宋体" w:cs="宋体"/>
          <w:color w:val="auto"/>
          <w:kern w:val="0"/>
          <w:sz w:val="32"/>
          <w:szCs w:val="32"/>
        </w:rPr>
        <w:t>.</w:t>
      </w:r>
      <w:r>
        <w:rPr>
          <w:rFonts w:hint="eastAsia" w:ascii="宋体" w:hAnsi="宋体" w:eastAsia="宋体" w:cs="宋体"/>
          <w:color w:val="auto"/>
          <w:kern w:val="0"/>
          <w:sz w:val="32"/>
          <w:szCs w:val="32"/>
          <w:lang w:val="en-US" w:eastAsia="zh-CN"/>
        </w:rPr>
        <w:t>征迁户子女就学。</w:t>
      </w:r>
    </w:p>
    <w:p>
      <w:pPr>
        <w:ind w:firstLine="640" w:firstLineChars="200"/>
        <w:rPr>
          <w:rFonts w:hint="eastAsia" w:ascii="宋体" w:hAnsi="宋体" w:eastAsia="宋体" w:cs="宋体"/>
          <w:color w:val="auto"/>
          <w:sz w:val="32"/>
          <w:szCs w:val="32"/>
        </w:rPr>
      </w:pPr>
      <w:r>
        <w:rPr>
          <w:rFonts w:hint="eastAsia" w:ascii="宋体" w:hAnsi="宋体" w:eastAsia="宋体" w:cs="宋体"/>
          <w:color w:val="auto"/>
          <w:kern w:val="0"/>
          <w:sz w:val="32"/>
          <w:szCs w:val="32"/>
        </w:rPr>
        <w:t>被征收人房屋被征收后，其子女可选择继续在原户籍所在地按原招生办法入学，或者在迁入户籍所在地教育行政部门划片招生的就近学校入学</w:t>
      </w:r>
      <w:r>
        <w:rPr>
          <w:rFonts w:hint="eastAsia" w:ascii="宋体" w:hAnsi="宋体" w:eastAsia="宋体" w:cs="宋体"/>
          <w:color w:val="auto"/>
          <w:sz w:val="32"/>
          <w:szCs w:val="32"/>
        </w:rPr>
        <w:t>。</w:t>
      </w:r>
    </w:p>
    <w:p>
      <w:pPr>
        <w:adjustRightInd w:val="0"/>
        <w:snapToGrid w:val="0"/>
        <w:spacing w:line="576" w:lineRule="exact"/>
        <w:ind w:firstLine="640" w:firstLineChars="200"/>
        <w:outlineLvl w:val="0"/>
        <w:rPr>
          <w:rFonts w:ascii="黑体" w:hAnsi="黑体" w:eastAsia="黑体"/>
          <w:color w:val="auto"/>
          <w:sz w:val="32"/>
          <w:szCs w:val="32"/>
        </w:rPr>
      </w:pPr>
      <w:r>
        <w:rPr>
          <w:rFonts w:hint="eastAsia" w:ascii="黑体" w:hAnsi="黑体" w:eastAsia="黑体"/>
          <w:color w:val="auto"/>
          <w:sz w:val="32"/>
          <w:szCs w:val="32"/>
          <w:lang w:val="en-US" w:eastAsia="zh-CN"/>
        </w:rPr>
        <w:t>十</w:t>
      </w:r>
      <w:r>
        <w:rPr>
          <w:rFonts w:hint="eastAsia" w:ascii="黑体" w:hAnsi="黑体" w:eastAsia="黑体"/>
          <w:color w:val="auto"/>
          <w:sz w:val="32"/>
          <w:szCs w:val="32"/>
        </w:rPr>
        <w:t>、房屋搬迁期限及资金拨付方式</w:t>
      </w:r>
    </w:p>
    <w:p>
      <w:pPr>
        <w:adjustRightInd w:val="0"/>
        <w:snapToGrid w:val="0"/>
        <w:spacing w:line="576" w:lineRule="exact"/>
        <w:ind w:firstLine="640" w:firstLineChars="200"/>
        <w:rPr>
          <w:rFonts w:hint="eastAsia" w:ascii="仿宋_GB2312" w:hAnsi="仿宋_GB2312"/>
          <w:color w:val="auto"/>
          <w:sz w:val="32"/>
          <w:szCs w:val="32"/>
        </w:rPr>
      </w:pPr>
      <w:r>
        <w:rPr>
          <w:rFonts w:ascii="仿宋_GB2312" w:hAnsi="仿宋_GB2312"/>
          <w:color w:val="auto"/>
          <w:sz w:val="32"/>
          <w:szCs w:val="32"/>
        </w:rPr>
        <w:t>被征收人在签订房屋征收补偿协议后十五日搬迁完毕。</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房屋征收补偿资金分两次拨付，签约后五个工作日内拨付补偿资金50%，收到首笔补偿款十日内征收户必须腾空房屋并将钥匙和建房证件交于征收部门，</w:t>
      </w:r>
      <w:r>
        <w:rPr>
          <w:rFonts w:ascii="仿宋_GB2312" w:hAnsi="仿宋_GB2312"/>
          <w:color w:val="auto"/>
          <w:sz w:val="32"/>
          <w:szCs w:val="32"/>
        </w:rPr>
        <w:t>如征收户在约定时间内未腾空房屋，将逐日扣除搬迁费用。房屋交付后五日内，征收部门将50%补偿款连同各种奖补资金一并支付结清。</w:t>
      </w:r>
    </w:p>
    <w:p>
      <w:pPr>
        <w:adjustRightInd w:val="0"/>
        <w:snapToGrid w:val="0"/>
        <w:spacing w:line="576" w:lineRule="exact"/>
        <w:ind w:firstLine="640" w:firstLineChars="200"/>
        <w:outlineLvl w:val="0"/>
        <w:rPr>
          <w:rFonts w:ascii="黑体" w:hAnsi="黑体" w:eastAsia="黑体"/>
          <w:color w:val="auto"/>
          <w:sz w:val="32"/>
          <w:szCs w:val="32"/>
        </w:rPr>
      </w:pPr>
      <w:r>
        <w:rPr>
          <w:rFonts w:hint="eastAsia" w:ascii="黑体" w:hAnsi="黑体" w:eastAsia="黑体"/>
          <w:color w:val="auto"/>
          <w:sz w:val="32"/>
          <w:szCs w:val="32"/>
        </w:rPr>
        <w:t>十</w:t>
      </w:r>
      <w:r>
        <w:rPr>
          <w:rFonts w:hint="eastAsia" w:ascii="黑体" w:hAnsi="黑体" w:eastAsia="黑体"/>
          <w:color w:val="auto"/>
          <w:sz w:val="32"/>
          <w:szCs w:val="32"/>
          <w:lang w:val="en-US" w:eastAsia="zh-CN"/>
        </w:rPr>
        <w:t>一</w:t>
      </w:r>
      <w:r>
        <w:rPr>
          <w:rFonts w:hint="eastAsia" w:ascii="黑体" w:hAnsi="黑体" w:eastAsia="黑体"/>
          <w:color w:val="auto"/>
          <w:sz w:val="32"/>
          <w:szCs w:val="32"/>
        </w:rPr>
        <w:t>、司法强制</w:t>
      </w:r>
    </w:p>
    <w:p>
      <w:pPr>
        <w:adjustRightInd w:val="0"/>
        <w:snapToGrid w:val="0"/>
        <w:spacing w:line="576" w:lineRule="exact"/>
        <w:ind w:firstLine="640" w:firstLineChars="200"/>
        <w:rPr>
          <w:rFonts w:hint="eastAsia" w:ascii="仿宋_GB2312" w:hAnsi="仿宋_GB2312"/>
          <w:color w:val="auto"/>
          <w:sz w:val="32"/>
          <w:szCs w:val="32"/>
        </w:rPr>
      </w:pPr>
      <w:r>
        <w:rPr>
          <w:rFonts w:ascii="仿宋_GB2312" w:hAnsi="仿宋_GB2312"/>
          <w:color w:val="auto"/>
          <w:sz w:val="32"/>
          <w:szCs w:val="32"/>
        </w:rPr>
        <w:t>在征收工作实施过程中，征收部门和被征收人在《方案》确定的签约期限内达不成补偿协议，或者被征收房屋所有权人不明确的，由房屋征收部门报请县人民政府按照《方案》作出补偿决定，并在房屋征收范围内或县人民政府网站予以公告。被征收人对补偿决定不服的，可以依法申请行政复议，也可以依法提起行政诉讼。被征收人在法定期限内不申请行政复议或不提起行政诉讼，在补偿决定规定的期限内又不搬迁交房的，由县人民政府依法申请县人民法院强制执行。</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被征收人在征收补偿协议约定的时间内不搬空交房的，属被征收人违约，不予奖励，并由指挥部按协议约定对房屋进行拆除，所引起的一切法律责任由被征收人承担。</w:t>
      </w:r>
    </w:p>
    <w:p>
      <w:pPr>
        <w:adjustRightInd w:val="0"/>
        <w:snapToGrid w:val="0"/>
        <w:spacing w:line="576" w:lineRule="exact"/>
        <w:ind w:firstLine="640" w:firstLineChars="200"/>
        <w:outlineLvl w:val="0"/>
        <w:rPr>
          <w:rFonts w:hint="eastAsia" w:ascii="黑体" w:hAnsi="黑体" w:eastAsia="黑体"/>
          <w:color w:val="auto"/>
          <w:sz w:val="32"/>
          <w:szCs w:val="32"/>
        </w:rPr>
      </w:pPr>
    </w:p>
    <w:p>
      <w:pPr>
        <w:adjustRightInd w:val="0"/>
        <w:snapToGrid w:val="0"/>
        <w:spacing w:line="576" w:lineRule="exact"/>
        <w:ind w:firstLine="640" w:firstLineChars="200"/>
        <w:outlineLvl w:val="0"/>
        <w:rPr>
          <w:rFonts w:ascii="黑体" w:hAnsi="黑体" w:eastAsia="黑体"/>
          <w:color w:val="auto"/>
          <w:sz w:val="32"/>
          <w:szCs w:val="32"/>
        </w:rPr>
      </w:pPr>
      <w:r>
        <w:rPr>
          <w:rFonts w:hint="eastAsia" w:ascii="黑体" w:hAnsi="黑体" w:eastAsia="黑体"/>
          <w:color w:val="auto"/>
          <w:sz w:val="32"/>
          <w:szCs w:val="32"/>
        </w:rPr>
        <w:t>十</w:t>
      </w:r>
      <w:r>
        <w:rPr>
          <w:rFonts w:hint="eastAsia" w:ascii="黑体" w:hAnsi="黑体" w:eastAsia="黑体"/>
          <w:color w:val="auto"/>
          <w:sz w:val="32"/>
          <w:szCs w:val="32"/>
          <w:lang w:val="en-US" w:eastAsia="zh-CN"/>
        </w:rPr>
        <w:t>二</w:t>
      </w:r>
      <w:r>
        <w:rPr>
          <w:rFonts w:hint="eastAsia" w:ascii="黑体" w:hAnsi="黑体" w:eastAsia="黑体"/>
          <w:color w:val="auto"/>
          <w:sz w:val="32"/>
          <w:szCs w:val="32"/>
        </w:rPr>
        <w:t>、法律责任</w:t>
      </w:r>
    </w:p>
    <w:p>
      <w:pPr>
        <w:adjustRightInd w:val="0"/>
        <w:snapToGrid w:val="0"/>
        <w:spacing w:line="576" w:lineRule="exact"/>
        <w:ind w:firstLine="640" w:firstLineChars="200"/>
        <w:rPr>
          <w:rFonts w:hint="eastAsia" w:ascii="仿宋_GB2312" w:hAnsi="仿宋_GB2312"/>
          <w:color w:val="auto"/>
          <w:sz w:val="32"/>
          <w:szCs w:val="32"/>
        </w:rPr>
      </w:pPr>
      <w:r>
        <w:rPr>
          <w:rFonts w:ascii="仿宋_GB2312" w:hAnsi="仿宋_GB2312"/>
          <w:color w:val="auto"/>
          <w:sz w:val="32"/>
          <w:szCs w:val="32"/>
        </w:rPr>
        <w:t xml:space="preserve">1.房屋征收工作人员在房屋征收与补偿工作中不履行房屋征收相关规定的职责，或者滥用职权、玩忽职守、徇私舞弊的，依法依规追究责任；构成犯罪的，依法追究刑事责任。  </w:t>
      </w:r>
      <w:r>
        <w:rPr>
          <w:rFonts w:ascii="仿宋_GB2312" w:hAnsi="仿宋_GB2312"/>
          <w:color w:val="auto"/>
          <w:sz w:val="32"/>
          <w:szCs w:val="32"/>
        </w:rPr>
        <w:br w:type="textWrapping"/>
      </w:r>
      <w:r>
        <w:rPr>
          <w:rFonts w:ascii="仿宋_GB2312" w:hAnsi="仿宋_GB2312"/>
          <w:color w:val="auto"/>
          <w:sz w:val="32"/>
          <w:szCs w:val="32"/>
        </w:rPr>
        <w:t xml:space="preserve">    2.被征收房屋所有人造谣滋事、扰乱秩序或以暴力、威胁等方法阻碍依法进行的房屋征收与补偿工作，以及弄虚作假、以不正当手段骗取补偿安置及奖励资金，依法给予治安管理处罚，构成犯罪的依法追究刑事责任。</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3.贪污、挪用、私分、截留、拖欠征收补偿费用的，依法依规追究责任；构成犯罪的，依法追究刑事责任。</w:t>
      </w:r>
    </w:p>
    <w:p>
      <w:pPr>
        <w:adjustRightInd w:val="0"/>
        <w:snapToGrid w:val="0"/>
        <w:spacing w:line="576" w:lineRule="exact"/>
        <w:ind w:firstLine="640" w:firstLineChars="200"/>
        <w:outlineLvl w:val="0"/>
        <w:rPr>
          <w:rFonts w:ascii="仿宋_GB2312" w:hAnsi="仿宋_GB2312"/>
          <w:color w:val="auto"/>
          <w:sz w:val="32"/>
          <w:szCs w:val="32"/>
        </w:rPr>
      </w:pPr>
      <w:r>
        <w:rPr>
          <w:rFonts w:hint="eastAsia" w:ascii="黑体" w:hAnsi="黑体" w:eastAsia="黑体"/>
          <w:color w:val="auto"/>
          <w:sz w:val="32"/>
          <w:szCs w:val="32"/>
        </w:rPr>
        <w:t>十</w:t>
      </w:r>
      <w:r>
        <w:rPr>
          <w:rFonts w:hint="eastAsia" w:ascii="黑体" w:hAnsi="黑体" w:eastAsia="黑体"/>
          <w:color w:val="auto"/>
          <w:sz w:val="32"/>
          <w:szCs w:val="32"/>
          <w:lang w:val="en-US" w:eastAsia="zh-CN"/>
        </w:rPr>
        <w:t>三</w:t>
      </w:r>
      <w:r>
        <w:rPr>
          <w:rFonts w:hint="eastAsia" w:ascii="黑体" w:hAnsi="黑体" w:eastAsia="黑体"/>
          <w:color w:val="auto"/>
          <w:sz w:val="32"/>
          <w:szCs w:val="32"/>
        </w:rPr>
        <w:t>、其它相关问题</w:t>
      </w:r>
      <w:r>
        <w:rPr>
          <w:rFonts w:ascii="仿宋_GB2312" w:hAnsi="仿宋_GB2312"/>
          <w:color w:val="auto"/>
          <w:sz w:val="32"/>
          <w:szCs w:val="32"/>
        </w:rPr>
        <w:tab/>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1.签订征收补偿协议时，房屋产权人应带房屋产权证、户口本、本人身份证到场，产权人本人不能到场的，可由委托代理人（该产权人授权委托书）到场签字。</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2.对房屋征收及范围内应该依法保护的建筑物、构筑物、树木等其他设施，依据国家有关规定办理。</w:t>
      </w:r>
    </w:p>
    <w:p>
      <w:pPr>
        <w:adjustRightInd w:val="0"/>
        <w:snapToGrid w:val="0"/>
        <w:spacing w:line="576" w:lineRule="exact"/>
        <w:ind w:firstLine="645"/>
        <w:rPr>
          <w:rFonts w:ascii="仿宋_GB2312" w:hAnsi="仿宋_GB2312"/>
          <w:color w:val="auto"/>
          <w:sz w:val="32"/>
          <w:szCs w:val="32"/>
        </w:rPr>
      </w:pPr>
      <w:r>
        <w:rPr>
          <w:rFonts w:ascii="仿宋_GB2312" w:hAnsi="仿宋_GB2312"/>
          <w:color w:val="auto"/>
          <w:sz w:val="32"/>
          <w:szCs w:val="32"/>
        </w:rPr>
        <w:t>3.相关部门应加强房地产市场监管，按照《弋阳县人民政府关于印发&lt;关于进一步加强房地产市场管理工作的实施意见&gt;的通知》(弋府字〔2017〕64号)要求，严厉查处房地产开发企业借机哄涨房价等违规行为。</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4.附表与正文具有同等法律效力。</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5.本方案中未尽事宜由本项目领导小组研究决定。</w:t>
      </w:r>
    </w:p>
    <w:p>
      <w:pPr>
        <w:adjustRightInd w:val="0"/>
        <w:snapToGrid w:val="0"/>
        <w:spacing w:line="576" w:lineRule="exact"/>
        <w:ind w:firstLine="640" w:firstLineChars="200"/>
        <w:rPr>
          <w:rFonts w:ascii="仿宋_GB2312" w:hAnsi="仿宋_GB2312"/>
          <w:color w:val="auto"/>
          <w:sz w:val="32"/>
          <w:szCs w:val="32"/>
        </w:rPr>
      </w:pPr>
      <w:r>
        <w:rPr>
          <w:rFonts w:ascii="仿宋_GB2312" w:hAnsi="仿宋_GB2312"/>
          <w:color w:val="auto"/>
          <w:sz w:val="32"/>
          <w:szCs w:val="32"/>
        </w:rPr>
        <w:t>6.本方案自公布次日起实施，由县房屋征收部门负责解</w:t>
      </w:r>
    </w:p>
    <w:p>
      <w:pPr>
        <w:adjustRightInd w:val="0"/>
        <w:snapToGrid w:val="0"/>
        <w:spacing w:line="576" w:lineRule="exact"/>
        <w:rPr>
          <w:rFonts w:ascii="仿宋_GB2312" w:hAnsi="仿宋_GB2312"/>
          <w:color w:val="auto"/>
          <w:sz w:val="32"/>
          <w:szCs w:val="32"/>
        </w:rPr>
      </w:pPr>
      <w:r>
        <w:rPr>
          <w:rFonts w:ascii="仿宋_GB2312" w:hAnsi="仿宋_GB2312"/>
          <w:color w:val="auto"/>
          <w:sz w:val="32"/>
          <w:szCs w:val="32"/>
        </w:rPr>
        <w:t>释。</w:t>
      </w:r>
    </w:p>
    <w:p>
      <w:pPr>
        <w:adjustRightInd w:val="0"/>
        <w:snapToGrid w:val="0"/>
        <w:spacing w:line="576" w:lineRule="exact"/>
        <w:rPr>
          <w:rFonts w:hint="default" w:ascii="仿宋_GB2312" w:hAnsi="仿宋_GB2312" w:eastAsia="宋体"/>
          <w:color w:val="auto"/>
          <w:sz w:val="32"/>
          <w:szCs w:val="32"/>
          <w:lang w:val="en-US" w:eastAsia="zh-CN"/>
        </w:rPr>
      </w:pPr>
      <w:r>
        <w:rPr>
          <w:rFonts w:ascii="仿宋_GB2312" w:hAnsi="仿宋_GB2312"/>
          <w:color w:val="auto"/>
          <w:sz w:val="32"/>
          <w:szCs w:val="32"/>
        </w:rPr>
        <w:t xml:space="preserve">    </w:t>
      </w:r>
      <w:r>
        <w:rPr>
          <w:rFonts w:hint="eastAsia" w:ascii="仿宋_GB2312" w:hAnsi="仿宋_GB2312"/>
          <w:color w:val="auto"/>
          <w:sz w:val="32"/>
          <w:szCs w:val="32"/>
          <w:lang w:val="en-US" w:eastAsia="zh-CN"/>
        </w:rPr>
        <w:t>7.该补偿方案自本项目征收决定下达公告后生效。</w:t>
      </w:r>
    </w:p>
    <w:p>
      <w:pPr>
        <w:adjustRightInd w:val="0"/>
        <w:snapToGrid w:val="0"/>
        <w:spacing w:line="576" w:lineRule="exact"/>
        <w:rPr>
          <w:rFonts w:ascii="仿宋_GB2312" w:hAnsi="仿宋_GB2312"/>
          <w:color w:val="auto"/>
          <w:sz w:val="32"/>
          <w:szCs w:val="32"/>
        </w:rPr>
      </w:pPr>
      <w:r>
        <w:rPr>
          <w:rFonts w:ascii="仿宋_GB2312" w:hAnsi="仿宋_GB2312"/>
          <w:color w:val="auto"/>
          <w:sz w:val="32"/>
          <w:szCs w:val="32"/>
        </w:rPr>
        <w:t xml:space="preserve">    附件：1.房屋征收相关附属物补偿标准</w:t>
      </w:r>
    </w:p>
    <w:p>
      <w:pPr>
        <w:adjustRightInd w:val="0"/>
        <w:snapToGrid w:val="0"/>
        <w:spacing w:line="576" w:lineRule="exact"/>
        <w:rPr>
          <w:rFonts w:ascii="仿宋_GB2312" w:hAnsi="仿宋_GB2312"/>
          <w:color w:val="auto"/>
          <w:sz w:val="32"/>
          <w:szCs w:val="32"/>
        </w:rPr>
      </w:pPr>
      <w:r>
        <w:rPr>
          <w:rFonts w:ascii="仿宋_GB2312" w:hAnsi="仿宋_GB2312"/>
          <w:color w:val="auto"/>
          <w:sz w:val="32"/>
          <w:szCs w:val="32"/>
        </w:rPr>
        <w:t xml:space="preserve">          2.房屋征收装修补偿标准</w:t>
      </w:r>
    </w:p>
    <w:p>
      <w:pPr>
        <w:adjustRightInd w:val="0"/>
        <w:snapToGrid w:val="0"/>
        <w:spacing w:line="576" w:lineRule="atLeast"/>
        <w:rPr>
          <w:rFonts w:ascii="仿宋_GB2312" w:hAnsi="仿宋_GB2312"/>
          <w:color w:val="auto"/>
          <w:sz w:val="32"/>
          <w:szCs w:val="32"/>
        </w:rPr>
      </w:pPr>
      <w:r>
        <w:rPr>
          <w:rFonts w:ascii="仿宋_GB2312" w:hAnsi="仿宋_GB2312"/>
          <w:color w:val="auto"/>
          <w:sz w:val="32"/>
          <w:szCs w:val="32"/>
        </w:rPr>
        <w:t xml:space="preserve">      </w:t>
      </w:r>
    </w:p>
    <w:p>
      <w:pPr>
        <w:adjustRightInd w:val="0"/>
        <w:snapToGrid w:val="0"/>
        <w:spacing w:line="576" w:lineRule="atLeast"/>
        <w:rPr>
          <w:rFonts w:hint="eastAsia" w:ascii="黑体" w:hAnsi="黑体" w:eastAsia="黑体"/>
          <w:color w:val="auto"/>
          <w:sz w:val="32"/>
          <w:szCs w:val="32"/>
        </w:rPr>
      </w:pPr>
    </w:p>
    <w:p>
      <w:pPr>
        <w:adjustRightInd w:val="0"/>
        <w:snapToGrid w:val="0"/>
        <w:spacing w:line="576" w:lineRule="atLeast"/>
        <w:rPr>
          <w:rFonts w:hint="eastAsia" w:ascii="黑体" w:hAnsi="黑体" w:eastAsia="黑体"/>
          <w:color w:val="auto"/>
          <w:sz w:val="32"/>
          <w:szCs w:val="32"/>
        </w:rPr>
      </w:pPr>
    </w:p>
    <w:p>
      <w:pPr>
        <w:adjustRightInd w:val="0"/>
        <w:snapToGrid w:val="0"/>
        <w:spacing w:line="576" w:lineRule="atLeast"/>
        <w:rPr>
          <w:rFonts w:hint="eastAsia" w:ascii="黑体" w:hAnsi="黑体" w:eastAsia="黑体"/>
          <w:color w:val="auto"/>
          <w:sz w:val="32"/>
          <w:szCs w:val="32"/>
        </w:rPr>
      </w:pPr>
    </w:p>
    <w:p>
      <w:pPr>
        <w:adjustRightInd w:val="0"/>
        <w:snapToGrid w:val="0"/>
        <w:spacing w:line="576" w:lineRule="atLeast"/>
        <w:rPr>
          <w:rFonts w:hint="eastAsia" w:ascii="黑体" w:hAnsi="黑体" w:eastAsia="黑体"/>
          <w:color w:val="auto"/>
          <w:sz w:val="32"/>
          <w:szCs w:val="32"/>
        </w:rPr>
      </w:pPr>
    </w:p>
    <w:p>
      <w:pPr>
        <w:adjustRightInd w:val="0"/>
        <w:snapToGrid w:val="0"/>
        <w:spacing w:line="576" w:lineRule="atLeast"/>
        <w:rPr>
          <w:rFonts w:hint="eastAsia" w:ascii="黑体" w:hAnsi="黑体" w:eastAsia="黑体"/>
          <w:color w:val="auto"/>
          <w:sz w:val="32"/>
          <w:szCs w:val="32"/>
        </w:rPr>
      </w:pPr>
    </w:p>
    <w:p>
      <w:pPr>
        <w:adjustRightInd w:val="0"/>
        <w:snapToGrid w:val="0"/>
        <w:spacing w:line="576" w:lineRule="atLeast"/>
        <w:rPr>
          <w:rFonts w:hint="eastAsia" w:ascii="黑体" w:hAnsi="黑体" w:eastAsia="黑体"/>
          <w:color w:val="auto"/>
          <w:sz w:val="32"/>
          <w:szCs w:val="32"/>
        </w:rPr>
      </w:pPr>
    </w:p>
    <w:p>
      <w:pPr>
        <w:adjustRightInd w:val="0"/>
        <w:snapToGrid w:val="0"/>
        <w:spacing w:line="576" w:lineRule="atLeast"/>
        <w:rPr>
          <w:rFonts w:hint="eastAsia" w:ascii="黑体" w:hAnsi="黑体" w:eastAsia="黑体"/>
          <w:color w:val="auto"/>
          <w:sz w:val="32"/>
          <w:szCs w:val="32"/>
        </w:rPr>
      </w:pPr>
    </w:p>
    <w:p>
      <w:pPr>
        <w:adjustRightInd w:val="0"/>
        <w:snapToGrid w:val="0"/>
        <w:spacing w:line="576" w:lineRule="atLeast"/>
        <w:rPr>
          <w:rFonts w:hint="eastAsia" w:ascii="黑体" w:hAnsi="黑体" w:eastAsia="黑体"/>
          <w:color w:val="auto"/>
          <w:sz w:val="32"/>
          <w:szCs w:val="32"/>
        </w:rPr>
      </w:pPr>
    </w:p>
    <w:p>
      <w:pPr>
        <w:adjustRightInd w:val="0"/>
        <w:snapToGrid w:val="0"/>
        <w:spacing w:line="576" w:lineRule="atLeast"/>
        <w:rPr>
          <w:rFonts w:hint="eastAsia" w:ascii="黑体" w:hAnsi="黑体" w:eastAsia="黑体"/>
          <w:color w:val="auto"/>
          <w:sz w:val="32"/>
          <w:szCs w:val="32"/>
        </w:rPr>
      </w:pPr>
    </w:p>
    <w:p>
      <w:pPr>
        <w:adjustRightInd w:val="0"/>
        <w:snapToGrid w:val="0"/>
        <w:spacing w:line="576" w:lineRule="atLeast"/>
        <w:rPr>
          <w:rFonts w:hint="eastAsia" w:ascii="黑体" w:hAnsi="黑体" w:eastAsia="黑体"/>
          <w:color w:val="auto"/>
          <w:sz w:val="32"/>
          <w:szCs w:val="32"/>
        </w:rPr>
      </w:pPr>
    </w:p>
    <w:p>
      <w:pPr>
        <w:adjustRightInd w:val="0"/>
        <w:snapToGrid w:val="0"/>
        <w:spacing w:line="576" w:lineRule="atLeast"/>
        <w:rPr>
          <w:rFonts w:hint="eastAsia" w:ascii="黑体" w:hAnsi="黑体" w:eastAsia="黑体"/>
          <w:color w:val="auto"/>
          <w:sz w:val="32"/>
          <w:szCs w:val="32"/>
        </w:rPr>
      </w:pPr>
    </w:p>
    <w:p>
      <w:pPr>
        <w:adjustRightInd w:val="0"/>
        <w:snapToGrid w:val="0"/>
        <w:spacing w:line="576" w:lineRule="atLeast"/>
        <w:rPr>
          <w:rFonts w:hint="eastAsia" w:ascii="黑体" w:hAnsi="黑体" w:eastAsia="黑体"/>
          <w:color w:val="auto"/>
          <w:sz w:val="32"/>
          <w:szCs w:val="32"/>
        </w:rPr>
      </w:pPr>
    </w:p>
    <w:p>
      <w:pPr>
        <w:adjustRightInd w:val="0"/>
        <w:snapToGrid w:val="0"/>
        <w:spacing w:line="576" w:lineRule="atLeast"/>
        <w:rPr>
          <w:rFonts w:hint="eastAsia" w:ascii="黑体" w:hAnsi="黑体" w:eastAsia="黑体"/>
          <w:color w:val="auto"/>
          <w:sz w:val="32"/>
          <w:szCs w:val="32"/>
        </w:rPr>
      </w:pPr>
    </w:p>
    <w:p>
      <w:pPr>
        <w:adjustRightInd w:val="0"/>
        <w:snapToGrid w:val="0"/>
        <w:spacing w:line="576" w:lineRule="atLeast"/>
        <w:rPr>
          <w:rFonts w:hint="eastAsia" w:ascii="黑体" w:hAnsi="黑体" w:eastAsia="黑体"/>
          <w:color w:val="auto"/>
          <w:sz w:val="32"/>
          <w:szCs w:val="32"/>
        </w:rPr>
      </w:pPr>
    </w:p>
    <w:p>
      <w:pPr>
        <w:adjustRightInd w:val="0"/>
        <w:snapToGrid w:val="0"/>
        <w:spacing w:line="576" w:lineRule="atLeast"/>
        <w:rPr>
          <w:rFonts w:hint="eastAsia" w:ascii="黑体" w:hAnsi="黑体" w:eastAsia="黑体"/>
          <w:color w:val="auto"/>
          <w:sz w:val="32"/>
          <w:szCs w:val="32"/>
        </w:rPr>
      </w:pPr>
    </w:p>
    <w:p>
      <w:pPr>
        <w:adjustRightInd w:val="0"/>
        <w:snapToGrid w:val="0"/>
        <w:spacing w:line="576" w:lineRule="atLeast"/>
        <w:rPr>
          <w:rFonts w:hint="eastAsia" w:ascii="黑体" w:hAnsi="黑体" w:eastAsia="黑体"/>
          <w:color w:val="auto"/>
          <w:sz w:val="32"/>
          <w:szCs w:val="32"/>
        </w:rPr>
      </w:pPr>
    </w:p>
    <w:p>
      <w:pPr>
        <w:adjustRightInd w:val="0"/>
        <w:snapToGrid w:val="0"/>
        <w:spacing w:line="576" w:lineRule="atLeast"/>
        <w:rPr>
          <w:rFonts w:hint="eastAsia" w:ascii="黑体" w:hAnsi="黑体" w:eastAsia="黑体"/>
          <w:color w:val="auto"/>
          <w:sz w:val="32"/>
          <w:szCs w:val="32"/>
        </w:rPr>
      </w:pPr>
    </w:p>
    <w:p>
      <w:pPr>
        <w:adjustRightInd w:val="0"/>
        <w:snapToGrid w:val="0"/>
        <w:spacing w:line="576" w:lineRule="atLeast"/>
        <w:rPr>
          <w:rFonts w:hint="eastAsia" w:ascii="黑体" w:hAnsi="黑体" w:eastAsia="黑体"/>
          <w:color w:val="auto"/>
          <w:sz w:val="32"/>
          <w:szCs w:val="32"/>
        </w:rPr>
      </w:pPr>
    </w:p>
    <w:p>
      <w:pPr>
        <w:adjustRightInd w:val="0"/>
        <w:snapToGrid w:val="0"/>
        <w:spacing w:line="576" w:lineRule="atLeast"/>
        <w:rPr>
          <w:rFonts w:ascii="仿宋_GB2312" w:hAnsi="仿宋_GB2312"/>
          <w:color w:val="auto"/>
          <w:sz w:val="32"/>
          <w:szCs w:val="32"/>
        </w:rPr>
      </w:pPr>
      <w:r>
        <w:rPr>
          <w:rFonts w:hint="eastAsia" w:ascii="黑体" w:hAnsi="黑体" w:eastAsia="黑体"/>
          <w:color w:val="auto"/>
          <w:sz w:val="32"/>
          <w:szCs w:val="32"/>
        </w:rPr>
        <w:t>附件1</w:t>
      </w:r>
    </w:p>
    <w:p>
      <w:pPr>
        <w:adjustRightInd w:val="0"/>
        <w:snapToGrid w:val="0"/>
        <w:spacing w:line="576" w:lineRule="atLeast"/>
        <w:rPr>
          <w:rFonts w:hint="eastAsia" w:ascii="黑体" w:hAnsi="黑体" w:eastAsia="黑体"/>
          <w:color w:val="auto"/>
          <w:sz w:val="32"/>
          <w:szCs w:val="32"/>
        </w:rPr>
      </w:pPr>
      <w:r>
        <w:rPr>
          <w:rFonts w:hint="eastAsia" w:ascii="黑体" w:hAnsi="黑体" w:eastAsia="黑体"/>
          <w:color w:val="auto"/>
          <w:sz w:val="32"/>
          <w:szCs w:val="32"/>
        </w:rPr>
        <w:t xml:space="preserve"> </w:t>
      </w:r>
    </w:p>
    <w:p>
      <w:pPr>
        <w:adjustRightInd w:val="0"/>
        <w:snapToGrid w:val="0"/>
        <w:spacing w:line="576" w:lineRule="atLeast"/>
        <w:jc w:val="center"/>
        <w:rPr>
          <w:rFonts w:hint="eastAsia" w:ascii="方正小标宋简体" w:hAnsi="方正小标宋简体"/>
          <w:color w:val="auto"/>
          <w:sz w:val="44"/>
          <w:szCs w:val="44"/>
        </w:rPr>
      </w:pPr>
      <w:r>
        <w:rPr>
          <w:rFonts w:ascii="方正小标宋简体" w:hAnsi="方正小标宋简体"/>
          <w:color w:val="auto"/>
          <w:sz w:val="44"/>
          <w:szCs w:val="44"/>
        </w:rPr>
        <w:t>房屋征收相关附属物补偿标准</w:t>
      </w:r>
    </w:p>
    <w:p>
      <w:pPr>
        <w:adjustRightInd w:val="0"/>
        <w:snapToGrid w:val="0"/>
        <w:spacing w:line="576" w:lineRule="atLeast"/>
        <w:jc w:val="center"/>
        <w:rPr>
          <w:rFonts w:ascii="方正小标宋简体" w:hAnsi="方正小标宋简体"/>
          <w:color w:val="auto"/>
          <w:sz w:val="32"/>
          <w:szCs w:val="32"/>
        </w:rPr>
      </w:pPr>
      <w:r>
        <w:rPr>
          <w:rFonts w:ascii="方正小标宋简体" w:hAnsi="方正小标宋简体"/>
          <w:color w:val="auto"/>
          <w:sz w:val="32"/>
          <w:szCs w:val="32"/>
        </w:rPr>
        <w:t xml:space="preserve"> </w:t>
      </w:r>
    </w:p>
    <w:tbl>
      <w:tblPr>
        <w:tblStyle w:val="7"/>
        <w:tblW w:w="94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1292"/>
        <w:gridCol w:w="3680"/>
        <w:gridCol w:w="921"/>
        <w:gridCol w:w="2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0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附属房及构筑物名称</w:t>
            </w:r>
          </w:p>
        </w:tc>
        <w:tc>
          <w:tcPr>
            <w:tcW w:w="3680"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构建及要求</w:t>
            </w:r>
          </w:p>
        </w:tc>
        <w:tc>
          <w:tcPr>
            <w:tcW w:w="921"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单位</w:t>
            </w:r>
          </w:p>
        </w:tc>
        <w:tc>
          <w:tcPr>
            <w:tcW w:w="2385"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货币补偿价（元）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503" w:type="dxa"/>
            <w:gridSpan w:val="2"/>
            <w:vMerge w:val="restart"/>
            <w:tcBorders>
              <w:top w:val="nil"/>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房前屋后零星果树、油桐、油茶</w:t>
            </w:r>
          </w:p>
        </w:tc>
        <w:tc>
          <w:tcPr>
            <w:tcW w:w="3680"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已挂果</w:t>
            </w:r>
          </w:p>
        </w:tc>
        <w:tc>
          <w:tcPr>
            <w:tcW w:w="921"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株</w:t>
            </w:r>
          </w:p>
        </w:tc>
        <w:tc>
          <w:tcPr>
            <w:tcW w:w="2385"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03"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_GB2312"/>
                <w:color w:val="auto"/>
                <w:sz w:val="24"/>
                <w:szCs w:val="24"/>
              </w:rPr>
            </w:pPr>
          </w:p>
        </w:tc>
        <w:tc>
          <w:tcPr>
            <w:tcW w:w="3680"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未挂果</w:t>
            </w:r>
          </w:p>
        </w:tc>
        <w:tc>
          <w:tcPr>
            <w:tcW w:w="921"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株</w:t>
            </w:r>
          </w:p>
        </w:tc>
        <w:tc>
          <w:tcPr>
            <w:tcW w:w="2385"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03"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_GB2312"/>
                <w:color w:val="auto"/>
                <w:sz w:val="24"/>
                <w:szCs w:val="24"/>
              </w:rPr>
            </w:pPr>
          </w:p>
        </w:tc>
        <w:tc>
          <w:tcPr>
            <w:tcW w:w="3680"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幼苗</w:t>
            </w:r>
          </w:p>
        </w:tc>
        <w:tc>
          <w:tcPr>
            <w:tcW w:w="921"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株</w:t>
            </w:r>
          </w:p>
        </w:tc>
        <w:tc>
          <w:tcPr>
            <w:tcW w:w="2385"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50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房前屋后茶叶树</w:t>
            </w:r>
          </w:p>
        </w:tc>
        <w:tc>
          <w:tcPr>
            <w:tcW w:w="3680"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p>
        </w:tc>
        <w:tc>
          <w:tcPr>
            <w:tcW w:w="921"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兜</w:t>
            </w:r>
          </w:p>
        </w:tc>
        <w:tc>
          <w:tcPr>
            <w:tcW w:w="2385"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50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简易猪、牛栏、厕所</w:t>
            </w:r>
          </w:p>
        </w:tc>
        <w:tc>
          <w:tcPr>
            <w:tcW w:w="3680"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p>
        </w:tc>
        <w:tc>
          <w:tcPr>
            <w:tcW w:w="921"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w:t>
            </w:r>
          </w:p>
        </w:tc>
        <w:tc>
          <w:tcPr>
            <w:tcW w:w="2385"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50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简易棚</w:t>
            </w:r>
          </w:p>
        </w:tc>
        <w:tc>
          <w:tcPr>
            <w:tcW w:w="3680"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p>
        </w:tc>
        <w:tc>
          <w:tcPr>
            <w:tcW w:w="921"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w:t>
            </w:r>
          </w:p>
        </w:tc>
        <w:tc>
          <w:tcPr>
            <w:tcW w:w="2385"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0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钢架棚</w:t>
            </w:r>
          </w:p>
        </w:tc>
        <w:tc>
          <w:tcPr>
            <w:tcW w:w="3680"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p>
        </w:tc>
        <w:tc>
          <w:tcPr>
            <w:tcW w:w="921"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w:t>
            </w:r>
          </w:p>
        </w:tc>
        <w:tc>
          <w:tcPr>
            <w:tcW w:w="2385"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0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840" w:firstLineChars="350"/>
              <w:rPr>
                <w:rFonts w:ascii="仿宋_GB2312" w:hAnsi="仿宋_GB2312"/>
                <w:color w:val="auto"/>
                <w:sz w:val="24"/>
                <w:szCs w:val="24"/>
              </w:rPr>
            </w:pPr>
            <w:r>
              <w:rPr>
                <w:rFonts w:ascii="仿宋_GB2312" w:hAnsi="仿宋_GB2312"/>
                <w:color w:val="auto"/>
                <w:sz w:val="24"/>
                <w:szCs w:val="24"/>
              </w:rPr>
              <w:t>围墙</w:t>
            </w:r>
          </w:p>
        </w:tc>
        <w:tc>
          <w:tcPr>
            <w:tcW w:w="3680"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p>
        </w:tc>
        <w:tc>
          <w:tcPr>
            <w:tcW w:w="921"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w:t>
            </w:r>
          </w:p>
        </w:tc>
        <w:tc>
          <w:tcPr>
            <w:tcW w:w="2385"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250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840" w:firstLineChars="350"/>
              <w:rPr>
                <w:rFonts w:ascii="仿宋_GB2312" w:hAnsi="仿宋_GB2312"/>
                <w:color w:val="auto"/>
                <w:sz w:val="24"/>
                <w:szCs w:val="24"/>
              </w:rPr>
            </w:pPr>
            <w:r>
              <w:rPr>
                <w:rFonts w:ascii="仿宋_GB2312" w:hAnsi="仿宋_GB2312"/>
                <w:color w:val="auto"/>
                <w:sz w:val="24"/>
                <w:szCs w:val="24"/>
              </w:rPr>
              <w:t>挡土墙</w:t>
            </w:r>
          </w:p>
        </w:tc>
        <w:tc>
          <w:tcPr>
            <w:tcW w:w="3680"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p>
        </w:tc>
        <w:tc>
          <w:tcPr>
            <w:tcW w:w="921"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m</w:t>
            </w:r>
            <w:r>
              <w:rPr>
                <w:rFonts w:ascii="仿宋_GB2312" w:hAnsi="仿宋_GB2312"/>
                <w:color w:val="auto"/>
                <w:sz w:val="24"/>
                <w:szCs w:val="24"/>
                <w:vertAlign w:val="superscript"/>
              </w:rPr>
              <w:t>3</w:t>
            </w:r>
          </w:p>
        </w:tc>
        <w:tc>
          <w:tcPr>
            <w:tcW w:w="2385"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211" w:type="dxa"/>
            <w:vMerge w:val="restart"/>
            <w:tcBorders>
              <w:top w:val="nil"/>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水井</w:t>
            </w:r>
          </w:p>
          <w:p>
            <w:pPr>
              <w:adjustRightInd w:val="0"/>
              <w:snapToGrid w:val="0"/>
              <w:jc w:val="center"/>
              <w:rPr>
                <w:rFonts w:ascii="仿宋_GB2312" w:hAnsi="仿宋_GB2312"/>
                <w:color w:val="auto"/>
                <w:sz w:val="24"/>
                <w:szCs w:val="24"/>
              </w:rPr>
            </w:pPr>
            <w:r>
              <w:rPr>
                <w:rFonts w:ascii="仿宋_GB2312" w:hAnsi="仿宋_GB2312"/>
                <w:color w:val="auto"/>
                <w:sz w:val="24"/>
                <w:szCs w:val="24"/>
              </w:rPr>
              <w:t>（公用）</w:t>
            </w:r>
          </w:p>
        </w:tc>
        <w:tc>
          <w:tcPr>
            <w:tcW w:w="1292"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一类</w:t>
            </w:r>
          </w:p>
        </w:tc>
        <w:tc>
          <w:tcPr>
            <w:tcW w:w="3680"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村庄公用</w:t>
            </w:r>
          </w:p>
        </w:tc>
        <w:tc>
          <w:tcPr>
            <w:tcW w:w="921"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口</w:t>
            </w:r>
          </w:p>
        </w:tc>
        <w:tc>
          <w:tcPr>
            <w:tcW w:w="2385"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21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_GB2312"/>
                <w:color w:val="auto"/>
                <w:sz w:val="24"/>
                <w:szCs w:val="24"/>
              </w:rPr>
            </w:pPr>
          </w:p>
        </w:tc>
        <w:tc>
          <w:tcPr>
            <w:tcW w:w="1292"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二类</w:t>
            </w:r>
          </w:p>
        </w:tc>
        <w:tc>
          <w:tcPr>
            <w:tcW w:w="3680"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家用水井、压水井</w:t>
            </w:r>
          </w:p>
        </w:tc>
        <w:tc>
          <w:tcPr>
            <w:tcW w:w="921"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口</w:t>
            </w:r>
          </w:p>
        </w:tc>
        <w:tc>
          <w:tcPr>
            <w:tcW w:w="2385"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0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压水机</w:t>
            </w:r>
          </w:p>
        </w:tc>
        <w:tc>
          <w:tcPr>
            <w:tcW w:w="3680"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现在使用</w:t>
            </w:r>
          </w:p>
        </w:tc>
        <w:tc>
          <w:tcPr>
            <w:tcW w:w="921"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个</w:t>
            </w:r>
          </w:p>
        </w:tc>
        <w:tc>
          <w:tcPr>
            <w:tcW w:w="2385"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0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水池</w:t>
            </w:r>
          </w:p>
        </w:tc>
        <w:tc>
          <w:tcPr>
            <w:tcW w:w="3680"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指室外单建</w:t>
            </w:r>
          </w:p>
        </w:tc>
        <w:tc>
          <w:tcPr>
            <w:tcW w:w="921"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个</w:t>
            </w:r>
          </w:p>
        </w:tc>
        <w:tc>
          <w:tcPr>
            <w:tcW w:w="2385"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200--300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211" w:type="dxa"/>
            <w:vMerge w:val="restart"/>
            <w:tcBorders>
              <w:top w:val="nil"/>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水塔</w:t>
            </w:r>
          </w:p>
        </w:tc>
        <w:tc>
          <w:tcPr>
            <w:tcW w:w="1292"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公用</w:t>
            </w:r>
          </w:p>
        </w:tc>
        <w:tc>
          <w:tcPr>
            <w:tcW w:w="3680" w:type="dxa"/>
            <w:vMerge w:val="restart"/>
            <w:tcBorders>
              <w:top w:val="nil"/>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砖混结构</w:t>
            </w:r>
          </w:p>
        </w:tc>
        <w:tc>
          <w:tcPr>
            <w:tcW w:w="921" w:type="dxa"/>
            <w:vMerge w:val="restart"/>
            <w:tcBorders>
              <w:top w:val="nil"/>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个</w:t>
            </w:r>
          </w:p>
        </w:tc>
        <w:tc>
          <w:tcPr>
            <w:tcW w:w="2385"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21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_GB2312"/>
                <w:color w:val="auto"/>
                <w:sz w:val="24"/>
                <w:szCs w:val="24"/>
              </w:rPr>
            </w:pPr>
          </w:p>
        </w:tc>
        <w:tc>
          <w:tcPr>
            <w:tcW w:w="1292"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家用</w:t>
            </w:r>
          </w:p>
        </w:tc>
        <w:tc>
          <w:tcPr>
            <w:tcW w:w="3680" w:type="dxa"/>
            <w:vMerge w:val="continue"/>
            <w:tcBorders>
              <w:top w:val="nil"/>
              <w:left w:val="nil"/>
              <w:bottom w:val="single" w:color="auto" w:sz="4" w:space="0"/>
              <w:right w:val="single" w:color="auto" w:sz="4" w:space="0"/>
            </w:tcBorders>
            <w:vAlign w:val="center"/>
          </w:tcPr>
          <w:p>
            <w:pPr>
              <w:widowControl/>
              <w:jc w:val="left"/>
              <w:rPr>
                <w:rFonts w:ascii="仿宋_GB2312" w:hAnsi="仿宋_GB2312"/>
                <w:color w:val="auto"/>
                <w:sz w:val="24"/>
                <w:szCs w:val="24"/>
              </w:rPr>
            </w:pPr>
          </w:p>
        </w:tc>
        <w:tc>
          <w:tcPr>
            <w:tcW w:w="921" w:type="dxa"/>
            <w:vMerge w:val="continue"/>
            <w:tcBorders>
              <w:top w:val="nil"/>
              <w:left w:val="nil"/>
              <w:bottom w:val="single" w:color="auto" w:sz="4" w:space="0"/>
              <w:right w:val="single" w:color="auto" w:sz="4" w:space="0"/>
            </w:tcBorders>
            <w:vAlign w:val="center"/>
          </w:tcPr>
          <w:p>
            <w:pPr>
              <w:widowControl/>
              <w:jc w:val="left"/>
              <w:rPr>
                <w:rFonts w:ascii="仿宋_GB2312" w:hAnsi="仿宋_GB2312"/>
                <w:color w:val="auto"/>
                <w:sz w:val="24"/>
                <w:szCs w:val="24"/>
              </w:rPr>
            </w:pPr>
          </w:p>
        </w:tc>
        <w:tc>
          <w:tcPr>
            <w:tcW w:w="2385"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50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水泥地坪</w:t>
            </w:r>
          </w:p>
        </w:tc>
        <w:tc>
          <w:tcPr>
            <w:tcW w:w="3680"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指室外</w:t>
            </w:r>
          </w:p>
        </w:tc>
        <w:tc>
          <w:tcPr>
            <w:tcW w:w="921"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w:t>
            </w:r>
          </w:p>
        </w:tc>
        <w:tc>
          <w:tcPr>
            <w:tcW w:w="2385"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0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沼气池</w:t>
            </w:r>
          </w:p>
        </w:tc>
        <w:tc>
          <w:tcPr>
            <w:tcW w:w="3680"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p>
        </w:tc>
        <w:tc>
          <w:tcPr>
            <w:tcW w:w="921"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个</w:t>
            </w:r>
          </w:p>
        </w:tc>
        <w:tc>
          <w:tcPr>
            <w:tcW w:w="2385"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250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化粪池</w:t>
            </w:r>
          </w:p>
        </w:tc>
        <w:tc>
          <w:tcPr>
            <w:tcW w:w="3680"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p>
        </w:tc>
        <w:tc>
          <w:tcPr>
            <w:tcW w:w="921"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个</w:t>
            </w:r>
          </w:p>
        </w:tc>
        <w:tc>
          <w:tcPr>
            <w:tcW w:w="2385"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50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空调移装</w:t>
            </w:r>
          </w:p>
        </w:tc>
        <w:tc>
          <w:tcPr>
            <w:tcW w:w="3680"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p>
        </w:tc>
        <w:tc>
          <w:tcPr>
            <w:tcW w:w="921"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台</w:t>
            </w:r>
          </w:p>
        </w:tc>
        <w:tc>
          <w:tcPr>
            <w:tcW w:w="2385"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0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太阳能热水器移装</w:t>
            </w:r>
          </w:p>
        </w:tc>
        <w:tc>
          <w:tcPr>
            <w:tcW w:w="3680"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p>
        </w:tc>
        <w:tc>
          <w:tcPr>
            <w:tcW w:w="921"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组</w:t>
            </w:r>
          </w:p>
        </w:tc>
        <w:tc>
          <w:tcPr>
            <w:tcW w:w="2385"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0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三厢电</w:t>
            </w:r>
          </w:p>
        </w:tc>
        <w:tc>
          <w:tcPr>
            <w:tcW w:w="3680"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p>
        </w:tc>
        <w:tc>
          <w:tcPr>
            <w:tcW w:w="921"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户</w:t>
            </w:r>
          </w:p>
        </w:tc>
        <w:tc>
          <w:tcPr>
            <w:tcW w:w="2385"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0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自来水</w:t>
            </w:r>
          </w:p>
        </w:tc>
        <w:tc>
          <w:tcPr>
            <w:tcW w:w="3680"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p>
        </w:tc>
        <w:tc>
          <w:tcPr>
            <w:tcW w:w="921"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户</w:t>
            </w:r>
          </w:p>
        </w:tc>
        <w:tc>
          <w:tcPr>
            <w:tcW w:w="2385"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0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宽带网移装</w:t>
            </w:r>
          </w:p>
        </w:tc>
        <w:tc>
          <w:tcPr>
            <w:tcW w:w="3680"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p>
        </w:tc>
        <w:tc>
          <w:tcPr>
            <w:tcW w:w="921"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户</w:t>
            </w:r>
          </w:p>
        </w:tc>
        <w:tc>
          <w:tcPr>
            <w:tcW w:w="2385"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0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有线电视</w:t>
            </w:r>
          </w:p>
        </w:tc>
        <w:tc>
          <w:tcPr>
            <w:tcW w:w="3680"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p>
        </w:tc>
        <w:tc>
          <w:tcPr>
            <w:tcW w:w="921"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户</w:t>
            </w:r>
          </w:p>
        </w:tc>
        <w:tc>
          <w:tcPr>
            <w:tcW w:w="2385"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250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用电开户</w:t>
            </w:r>
          </w:p>
        </w:tc>
        <w:tc>
          <w:tcPr>
            <w:tcW w:w="3680"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p>
        </w:tc>
        <w:tc>
          <w:tcPr>
            <w:tcW w:w="921"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户</w:t>
            </w:r>
          </w:p>
        </w:tc>
        <w:tc>
          <w:tcPr>
            <w:tcW w:w="2385"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600</w:t>
            </w:r>
          </w:p>
        </w:tc>
      </w:tr>
    </w:tbl>
    <w:p>
      <w:pPr>
        <w:adjustRightInd w:val="0"/>
        <w:snapToGrid w:val="0"/>
        <w:spacing w:line="576" w:lineRule="atLeast"/>
        <w:rPr>
          <w:rFonts w:ascii="仿宋_GB2312" w:hAnsi="仿宋_GB2312"/>
          <w:color w:val="auto"/>
          <w:sz w:val="32"/>
          <w:szCs w:val="32"/>
        </w:rPr>
      </w:pPr>
      <w:r>
        <w:rPr>
          <w:rFonts w:ascii="仿宋_GB2312" w:hAnsi="仿宋_GB2312"/>
          <w:color w:val="auto"/>
          <w:sz w:val="32"/>
          <w:szCs w:val="32"/>
        </w:rPr>
        <w:t>上述未列的附属物、设施等按评估价予以补偿。</w:t>
      </w:r>
    </w:p>
    <w:p>
      <w:pPr>
        <w:adjustRightInd w:val="0"/>
        <w:snapToGrid w:val="0"/>
        <w:spacing w:line="576" w:lineRule="atLeast"/>
        <w:rPr>
          <w:rFonts w:hint="eastAsia" w:ascii="黑体" w:hAnsi="黑体" w:eastAsia="黑体"/>
          <w:color w:val="auto"/>
          <w:sz w:val="32"/>
          <w:szCs w:val="32"/>
        </w:rPr>
      </w:pPr>
    </w:p>
    <w:p>
      <w:pPr>
        <w:adjustRightInd w:val="0"/>
        <w:snapToGrid w:val="0"/>
        <w:spacing w:line="576" w:lineRule="atLeast"/>
        <w:rPr>
          <w:rFonts w:hint="eastAsia" w:ascii="黑体" w:hAnsi="黑体" w:eastAsia="黑体"/>
          <w:color w:val="auto"/>
          <w:sz w:val="32"/>
          <w:szCs w:val="32"/>
        </w:rPr>
      </w:pPr>
    </w:p>
    <w:p>
      <w:pPr>
        <w:adjustRightInd w:val="0"/>
        <w:snapToGrid w:val="0"/>
        <w:spacing w:line="576" w:lineRule="atLeast"/>
        <w:rPr>
          <w:rFonts w:hint="default" w:ascii="黑体" w:hAnsi="黑体" w:eastAsia="黑体"/>
          <w:color w:val="auto"/>
          <w:sz w:val="32"/>
          <w:szCs w:val="32"/>
          <w:lang w:val="en-US" w:eastAsia="zh-CN"/>
        </w:rPr>
      </w:pPr>
      <w:r>
        <w:rPr>
          <w:rFonts w:hint="eastAsia" w:ascii="黑体" w:hAnsi="黑体" w:eastAsia="黑体"/>
          <w:color w:val="auto"/>
          <w:sz w:val="32"/>
          <w:szCs w:val="32"/>
        </w:rPr>
        <w:t>附件</w:t>
      </w:r>
      <w:r>
        <w:rPr>
          <w:rFonts w:hint="eastAsia" w:ascii="黑体" w:hAnsi="黑体" w:eastAsia="黑体"/>
          <w:color w:val="auto"/>
          <w:sz w:val="32"/>
          <w:szCs w:val="32"/>
          <w:lang w:val="en-US" w:eastAsia="zh-CN"/>
        </w:rPr>
        <w:t>2</w:t>
      </w:r>
    </w:p>
    <w:p>
      <w:pPr>
        <w:adjustRightInd w:val="0"/>
        <w:snapToGrid w:val="0"/>
        <w:spacing w:line="576" w:lineRule="atLeast"/>
        <w:jc w:val="center"/>
        <w:rPr>
          <w:rFonts w:hint="eastAsia" w:ascii="方正小标宋简体" w:hAnsi="方正小标宋简体"/>
          <w:color w:val="auto"/>
          <w:sz w:val="32"/>
          <w:szCs w:val="32"/>
        </w:rPr>
      </w:pPr>
      <w:r>
        <w:rPr>
          <w:rFonts w:ascii="方正小标宋简体" w:hAnsi="方正小标宋简体"/>
          <w:color w:val="auto"/>
          <w:sz w:val="32"/>
          <w:szCs w:val="32"/>
        </w:rPr>
        <w:t xml:space="preserve"> </w:t>
      </w:r>
    </w:p>
    <w:p>
      <w:pPr>
        <w:adjustRightInd w:val="0"/>
        <w:snapToGrid w:val="0"/>
        <w:spacing w:line="576" w:lineRule="atLeast"/>
        <w:jc w:val="center"/>
        <w:rPr>
          <w:rFonts w:ascii="方正小标宋简体" w:hAnsi="方正小标宋简体"/>
          <w:color w:val="auto"/>
          <w:sz w:val="44"/>
          <w:szCs w:val="44"/>
        </w:rPr>
      </w:pPr>
      <w:r>
        <w:rPr>
          <w:rFonts w:ascii="方正小标宋简体" w:hAnsi="方正小标宋简体"/>
          <w:color w:val="auto"/>
          <w:sz w:val="44"/>
          <w:szCs w:val="44"/>
        </w:rPr>
        <w:t>房屋征收装修补偿标准</w:t>
      </w:r>
    </w:p>
    <w:p>
      <w:pPr>
        <w:adjustRightInd w:val="0"/>
        <w:snapToGrid w:val="0"/>
        <w:spacing w:line="576" w:lineRule="atLeast"/>
        <w:jc w:val="center"/>
        <w:rPr>
          <w:rFonts w:ascii="方正小标宋简体" w:hAnsi="方正小标宋简体"/>
          <w:color w:val="auto"/>
          <w:sz w:val="32"/>
          <w:szCs w:val="32"/>
        </w:rPr>
      </w:pPr>
      <w:r>
        <w:rPr>
          <w:rFonts w:ascii="方正小标宋简体" w:hAnsi="方正小标宋简体"/>
          <w:color w:val="auto"/>
          <w:sz w:val="32"/>
          <w:szCs w:val="32"/>
        </w:rPr>
        <w:t xml:space="preserve"> </w:t>
      </w:r>
    </w:p>
    <w:p>
      <w:pPr>
        <w:adjustRightInd w:val="0"/>
        <w:snapToGrid w:val="0"/>
        <w:spacing w:line="576" w:lineRule="atLeast"/>
        <w:ind w:firstLine="640" w:firstLineChars="200"/>
        <w:rPr>
          <w:rFonts w:ascii="仿宋_GB2312" w:hAnsi="仿宋_GB2312"/>
          <w:color w:val="auto"/>
          <w:sz w:val="32"/>
          <w:szCs w:val="32"/>
        </w:rPr>
      </w:pPr>
      <w:r>
        <w:rPr>
          <w:rFonts w:ascii="仿宋_GB2312" w:hAnsi="仿宋_GB2312"/>
          <w:color w:val="auto"/>
          <w:sz w:val="32"/>
          <w:szCs w:val="32"/>
        </w:rPr>
        <w:t>为了能客观、公正地对被征收住宅房的装修进行补偿，依据装修市场材料价，并结合实际情况，特制定如下装修补偿参考内容：</w:t>
      </w:r>
    </w:p>
    <w:tbl>
      <w:tblPr>
        <w:tblStyle w:val="7"/>
        <w:tblW w:w="84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7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9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装修</w:t>
            </w:r>
          </w:p>
          <w:p>
            <w:pPr>
              <w:adjustRightInd w:val="0"/>
              <w:snapToGrid w:val="0"/>
              <w:jc w:val="center"/>
              <w:rPr>
                <w:rFonts w:ascii="仿宋_GB2312" w:hAnsi="仿宋_GB2312"/>
                <w:color w:val="auto"/>
                <w:sz w:val="24"/>
                <w:szCs w:val="24"/>
              </w:rPr>
            </w:pPr>
            <w:r>
              <w:rPr>
                <w:rFonts w:ascii="仿宋_GB2312" w:hAnsi="仿宋_GB2312"/>
                <w:color w:val="auto"/>
                <w:sz w:val="24"/>
                <w:szCs w:val="24"/>
              </w:rPr>
              <w:t>等级</w:t>
            </w:r>
          </w:p>
        </w:tc>
        <w:tc>
          <w:tcPr>
            <w:tcW w:w="7457" w:type="dxa"/>
            <w:tcBorders>
              <w:top w:val="single" w:color="auto" w:sz="4" w:space="0"/>
              <w:left w:val="nil"/>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装修情况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3" w:hRule="atLeast"/>
          <w:jc w:val="center"/>
        </w:trPr>
        <w:tc>
          <w:tcPr>
            <w:tcW w:w="9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一级</w:t>
            </w:r>
          </w:p>
        </w:tc>
        <w:tc>
          <w:tcPr>
            <w:tcW w:w="7457" w:type="dxa"/>
            <w:tcBorders>
              <w:top w:val="single" w:color="auto" w:sz="4" w:space="0"/>
              <w:left w:val="nil"/>
              <w:bottom w:val="single" w:color="auto" w:sz="4" w:space="0"/>
              <w:right w:val="single" w:color="auto" w:sz="4" w:space="0"/>
            </w:tcBorders>
            <w:vAlign w:val="center"/>
          </w:tcPr>
          <w:p>
            <w:pPr>
              <w:adjustRightInd w:val="0"/>
              <w:snapToGrid w:val="0"/>
              <w:jc w:val="left"/>
              <w:rPr>
                <w:rFonts w:ascii="仿宋_GB2312" w:hAnsi="仿宋_GB2312"/>
                <w:color w:val="auto"/>
                <w:sz w:val="24"/>
                <w:szCs w:val="24"/>
              </w:rPr>
            </w:pPr>
            <w:r>
              <w:rPr>
                <w:rFonts w:hint="eastAsia" w:ascii="宋体" w:hAnsi="宋体" w:cs="宋体"/>
                <w:color w:val="auto"/>
                <w:sz w:val="24"/>
                <w:szCs w:val="24"/>
              </w:rPr>
              <w:t>①</w:t>
            </w:r>
            <w:r>
              <w:rPr>
                <w:rFonts w:ascii="仿宋_GB2312" w:hAnsi="仿宋_GB2312"/>
                <w:color w:val="auto"/>
                <w:sz w:val="24"/>
                <w:szCs w:val="24"/>
              </w:rPr>
              <w:t>墙面：高档墙漆或喷塑墙面</w:t>
            </w:r>
          </w:p>
          <w:p>
            <w:pPr>
              <w:adjustRightInd w:val="0"/>
              <w:snapToGrid w:val="0"/>
              <w:jc w:val="left"/>
              <w:rPr>
                <w:rFonts w:ascii="仿宋_GB2312" w:hAnsi="仿宋_GB2312"/>
                <w:color w:val="auto"/>
                <w:sz w:val="24"/>
                <w:szCs w:val="24"/>
              </w:rPr>
            </w:pPr>
            <w:r>
              <w:rPr>
                <w:rFonts w:hint="eastAsia" w:ascii="宋体" w:hAnsi="宋体" w:cs="宋体"/>
                <w:color w:val="auto"/>
                <w:sz w:val="24"/>
                <w:szCs w:val="24"/>
              </w:rPr>
              <w:t>②</w:t>
            </w:r>
            <w:r>
              <w:rPr>
                <w:rFonts w:ascii="仿宋_GB2312" w:hAnsi="仿宋_GB2312"/>
                <w:color w:val="auto"/>
                <w:sz w:val="24"/>
                <w:szCs w:val="24"/>
              </w:rPr>
              <w:t>地面：高档复合地板或实木地板、花岗岩地面砖或釉面地砖</w:t>
            </w:r>
          </w:p>
          <w:p>
            <w:pPr>
              <w:adjustRightInd w:val="0"/>
              <w:snapToGrid w:val="0"/>
              <w:jc w:val="left"/>
              <w:rPr>
                <w:rFonts w:ascii="仿宋_GB2312" w:hAnsi="仿宋_GB2312"/>
                <w:color w:val="auto"/>
                <w:sz w:val="24"/>
                <w:szCs w:val="24"/>
              </w:rPr>
            </w:pPr>
            <w:r>
              <w:rPr>
                <w:rFonts w:hint="eastAsia" w:ascii="宋体" w:hAnsi="宋体" w:cs="宋体"/>
                <w:color w:val="auto"/>
                <w:sz w:val="24"/>
                <w:szCs w:val="24"/>
              </w:rPr>
              <w:t>③</w:t>
            </w:r>
            <w:r>
              <w:rPr>
                <w:rFonts w:ascii="仿宋_GB2312" w:hAnsi="仿宋_GB2312"/>
                <w:color w:val="auto"/>
                <w:sz w:val="24"/>
                <w:szCs w:val="24"/>
              </w:rPr>
              <w:t>天棚：带造型或木线造型吊顶</w:t>
            </w:r>
          </w:p>
          <w:p>
            <w:pPr>
              <w:adjustRightInd w:val="0"/>
              <w:snapToGrid w:val="0"/>
              <w:jc w:val="left"/>
              <w:rPr>
                <w:rFonts w:ascii="仿宋_GB2312" w:hAnsi="仿宋_GB2312"/>
                <w:color w:val="auto"/>
                <w:sz w:val="24"/>
                <w:szCs w:val="24"/>
              </w:rPr>
            </w:pPr>
            <w:r>
              <w:rPr>
                <w:rFonts w:hint="eastAsia" w:ascii="宋体" w:hAnsi="宋体" w:cs="宋体"/>
                <w:color w:val="auto"/>
                <w:sz w:val="24"/>
                <w:szCs w:val="24"/>
              </w:rPr>
              <w:t>④</w:t>
            </w:r>
            <w:r>
              <w:rPr>
                <w:rFonts w:ascii="仿宋_GB2312" w:hAnsi="仿宋_GB2312"/>
                <w:color w:val="auto"/>
                <w:sz w:val="24"/>
                <w:szCs w:val="24"/>
              </w:rPr>
              <w:t>门窗：塑钢窗、木制门套、墙裙、不锈钢防盗窗、沙窗</w:t>
            </w:r>
          </w:p>
          <w:p>
            <w:pPr>
              <w:adjustRightInd w:val="0"/>
              <w:snapToGrid w:val="0"/>
              <w:jc w:val="left"/>
              <w:rPr>
                <w:rFonts w:ascii="仿宋_GB2312" w:hAnsi="仿宋_GB2312"/>
                <w:color w:val="auto"/>
                <w:sz w:val="24"/>
                <w:szCs w:val="24"/>
              </w:rPr>
            </w:pPr>
            <w:r>
              <w:rPr>
                <w:rFonts w:hint="eastAsia" w:ascii="宋体" w:hAnsi="宋体" w:cs="宋体"/>
                <w:color w:val="auto"/>
                <w:sz w:val="24"/>
                <w:szCs w:val="24"/>
              </w:rPr>
              <w:t>⑤</w:t>
            </w:r>
            <w:r>
              <w:rPr>
                <w:rFonts w:ascii="仿宋_GB2312" w:hAnsi="仿宋_GB2312"/>
                <w:color w:val="auto"/>
                <w:sz w:val="24"/>
                <w:szCs w:val="24"/>
              </w:rPr>
              <w:t>衣柜：固定式高档防水、防火材料衣柜</w:t>
            </w:r>
          </w:p>
          <w:p>
            <w:pPr>
              <w:adjustRightInd w:val="0"/>
              <w:snapToGrid w:val="0"/>
              <w:jc w:val="left"/>
              <w:rPr>
                <w:rFonts w:ascii="仿宋_GB2312" w:hAnsi="仿宋_GB2312"/>
                <w:color w:val="auto"/>
                <w:sz w:val="24"/>
                <w:szCs w:val="24"/>
              </w:rPr>
            </w:pPr>
            <w:r>
              <w:rPr>
                <w:rFonts w:hint="eastAsia" w:ascii="宋体" w:hAnsi="宋体" w:cs="宋体"/>
                <w:color w:val="auto"/>
                <w:sz w:val="24"/>
                <w:szCs w:val="24"/>
              </w:rPr>
              <w:t>⑥</w:t>
            </w:r>
            <w:r>
              <w:rPr>
                <w:rFonts w:ascii="仿宋_GB2312" w:hAnsi="仿宋_GB2312"/>
                <w:color w:val="auto"/>
                <w:sz w:val="24"/>
                <w:szCs w:val="24"/>
              </w:rPr>
              <w:t>厨卫：双饰面板橱柜、高档洁具、防滑地砖、墙砖、铝扣板吊顶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3" w:hRule="atLeast"/>
          <w:jc w:val="center"/>
        </w:trPr>
        <w:tc>
          <w:tcPr>
            <w:tcW w:w="9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_GB2312" w:hAnsi="仿宋_GB2312"/>
                <w:color w:val="auto"/>
                <w:sz w:val="24"/>
                <w:szCs w:val="24"/>
              </w:rPr>
            </w:pPr>
            <w:r>
              <w:rPr>
                <w:rFonts w:ascii="仿宋_GB2312" w:hAnsi="仿宋_GB2312"/>
                <w:color w:val="auto"/>
                <w:sz w:val="24"/>
                <w:szCs w:val="24"/>
              </w:rPr>
              <w:t>二级</w:t>
            </w:r>
          </w:p>
        </w:tc>
        <w:tc>
          <w:tcPr>
            <w:tcW w:w="7457" w:type="dxa"/>
            <w:tcBorders>
              <w:top w:val="single" w:color="auto" w:sz="4" w:space="0"/>
              <w:left w:val="nil"/>
              <w:bottom w:val="single" w:color="auto" w:sz="4" w:space="0"/>
              <w:right w:val="single" w:color="auto" w:sz="4" w:space="0"/>
            </w:tcBorders>
            <w:vAlign w:val="center"/>
          </w:tcPr>
          <w:p>
            <w:pPr>
              <w:adjustRightInd w:val="0"/>
              <w:snapToGrid w:val="0"/>
              <w:jc w:val="left"/>
              <w:rPr>
                <w:rFonts w:ascii="仿宋_GB2312" w:hAnsi="仿宋_GB2312"/>
                <w:color w:val="auto"/>
                <w:sz w:val="24"/>
                <w:szCs w:val="24"/>
              </w:rPr>
            </w:pPr>
            <w:r>
              <w:rPr>
                <w:rFonts w:hint="eastAsia" w:ascii="宋体" w:hAnsi="宋体" w:cs="宋体"/>
                <w:color w:val="auto"/>
                <w:sz w:val="24"/>
                <w:szCs w:val="24"/>
              </w:rPr>
              <w:t>①</w:t>
            </w:r>
            <w:r>
              <w:rPr>
                <w:rFonts w:ascii="仿宋_GB2312" w:hAnsi="仿宋_GB2312"/>
                <w:color w:val="auto"/>
                <w:sz w:val="24"/>
                <w:szCs w:val="24"/>
              </w:rPr>
              <w:t>墙面：中高档墙漆</w:t>
            </w:r>
          </w:p>
          <w:p>
            <w:pPr>
              <w:adjustRightInd w:val="0"/>
              <w:snapToGrid w:val="0"/>
              <w:jc w:val="left"/>
              <w:rPr>
                <w:rFonts w:ascii="仿宋_GB2312" w:hAnsi="仿宋_GB2312"/>
                <w:color w:val="auto"/>
                <w:sz w:val="24"/>
                <w:szCs w:val="24"/>
              </w:rPr>
            </w:pPr>
            <w:r>
              <w:rPr>
                <w:rFonts w:hint="eastAsia" w:ascii="宋体" w:hAnsi="宋体" w:cs="宋体"/>
                <w:color w:val="auto"/>
                <w:sz w:val="24"/>
                <w:szCs w:val="24"/>
              </w:rPr>
              <w:t>②</w:t>
            </w:r>
            <w:r>
              <w:rPr>
                <w:rFonts w:ascii="仿宋_GB2312" w:hAnsi="仿宋_GB2312"/>
                <w:color w:val="auto"/>
                <w:sz w:val="24"/>
                <w:szCs w:val="24"/>
              </w:rPr>
              <w:t>地面：釉面地面砖、水磨石地面、中高档实木或复合地板</w:t>
            </w:r>
          </w:p>
          <w:p>
            <w:pPr>
              <w:adjustRightInd w:val="0"/>
              <w:snapToGrid w:val="0"/>
              <w:jc w:val="left"/>
              <w:rPr>
                <w:rFonts w:ascii="仿宋_GB2312" w:hAnsi="仿宋_GB2312"/>
                <w:color w:val="auto"/>
                <w:sz w:val="24"/>
                <w:szCs w:val="24"/>
              </w:rPr>
            </w:pPr>
            <w:r>
              <w:rPr>
                <w:rFonts w:hint="eastAsia" w:ascii="宋体" w:hAnsi="宋体" w:cs="宋体"/>
                <w:color w:val="auto"/>
                <w:sz w:val="24"/>
                <w:szCs w:val="24"/>
              </w:rPr>
              <w:t>③</w:t>
            </w:r>
            <w:r>
              <w:rPr>
                <w:rFonts w:ascii="仿宋_GB2312" w:hAnsi="仿宋_GB2312"/>
                <w:color w:val="auto"/>
                <w:sz w:val="24"/>
                <w:szCs w:val="24"/>
              </w:rPr>
              <w:t xml:space="preserve">天棚：石膏吊顶、木角线或塑扣板吊顶 </w:t>
            </w:r>
          </w:p>
          <w:p>
            <w:pPr>
              <w:adjustRightInd w:val="0"/>
              <w:snapToGrid w:val="0"/>
              <w:jc w:val="left"/>
              <w:rPr>
                <w:rFonts w:ascii="仿宋_GB2312" w:hAnsi="仿宋_GB2312"/>
                <w:color w:val="auto"/>
                <w:sz w:val="24"/>
                <w:szCs w:val="24"/>
              </w:rPr>
            </w:pPr>
            <w:r>
              <w:rPr>
                <w:rFonts w:hint="eastAsia" w:ascii="宋体" w:hAnsi="宋体" w:cs="宋体"/>
                <w:color w:val="auto"/>
                <w:sz w:val="24"/>
                <w:szCs w:val="24"/>
              </w:rPr>
              <w:t>④</w:t>
            </w:r>
            <w:r>
              <w:rPr>
                <w:rFonts w:ascii="仿宋_GB2312" w:hAnsi="仿宋_GB2312"/>
                <w:color w:val="auto"/>
                <w:sz w:val="24"/>
                <w:szCs w:val="24"/>
              </w:rPr>
              <w:t>门窗：铝合金门窗、塑钢窗、木制门套、沙窗、不锈钢防盗窗</w:t>
            </w:r>
          </w:p>
          <w:p>
            <w:pPr>
              <w:adjustRightInd w:val="0"/>
              <w:snapToGrid w:val="0"/>
              <w:jc w:val="left"/>
              <w:rPr>
                <w:rFonts w:ascii="仿宋_GB2312" w:hAnsi="仿宋_GB2312"/>
                <w:color w:val="auto"/>
                <w:sz w:val="24"/>
                <w:szCs w:val="24"/>
              </w:rPr>
            </w:pPr>
            <w:r>
              <w:rPr>
                <w:rFonts w:hint="eastAsia" w:ascii="宋体" w:hAnsi="宋体" w:cs="宋体"/>
                <w:color w:val="auto"/>
                <w:sz w:val="24"/>
                <w:szCs w:val="24"/>
              </w:rPr>
              <w:t>⑤</w:t>
            </w:r>
            <w:r>
              <w:rPr>
                <w:rFonts w:ascii="仿宋_GB2312" w:hAnsi="仿宋_GB2312"/>
                <w:color w:val="auto"/>
                <w:sz w:val="24"/>
                <w:szCs w:val="24"/>
              </w:rPr>
              <w:t>衣柜：固定式中高档材料衣柜</w:t>
            </w:r>
          </w:p>
          <w:p>
            <w:pPr>
              <w:adjustRightInd w:val="0"/>
              <w:snapToGrid w:val="0"/>
              <w:jc w:val="left"/>
              <w:rPr>
                <w:rFonts w:ascii="仿宋_GB2312" w:hAnsi="仿宋_GB2312"/>
                <w:color w:val="auto"/>
                <w:sz w:val="24"/>
                <w:szCs w:val="24"/>
              </w:rPr>
            </w:pPr>
            <w:r>
              <w:rPr>
                <w:rFonts w:hint="eastAsia" w:ascii="宋体" w:hAnsi="宋体" w:cs="宋体"/>
                <w:color w:val="auto"/>
                <w:sz w:val="24"/>
                <w:szCs w:val="24"/>
              </w:rPr>
              <w:t>⑥</w:t>
            </w:r>
            <w:r>
              <w:rPr>
                <w:rFonts w:ascii="仿宋_GB2312" w:hAnsi="仿宋_GB2312"/>
                <w:color w:val="auto"/>
                <w:sz w:val="24"/>
                <w:szCs w:val="24"/>
              </w:rPr>
              <w:t>厨卫：防滑地砖、中高档墙砖、中高档洁具、塑扣板吊顶</w:t>
            </w:r>
          </w:p>
        </w:tc>
      </w:tr>
    </w:tbl>
    <w:p>
      <w:pPr>
        <w:adjustRightInd w:val="0"/>
        <w:snapToGrid w:val="0"/>
        <w:spacing w:line="576" w:lineRule="atLeast"/>
        <w:jc w:val="left"/>
        <w:rPr>
          <w:rFonts w:hint="eastAsia" w:ascii="仿宋_GB2312" w:hAnsi="仿宋_GB2312" w:eastAsia="仿宋_GB2312" w:cs="仿宋_GB2312"/>
          <w:sz w:val="32"/>
          <w:szCs w:val="32"/>
          <w:lang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2YjgzZTZlODAzYjFjNjliZTY5MGY3ODVlZDU4MTMifQ=="/>
  </w:docVars>
  <w:rsids>
    <w:rsidRoot w:val="00000000"/>
    <w:rsid w:val="0E750F78"/>
    <w:rsid w:val="741216A1"/>
    <w:rsid w:val="77FA387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黑体"/>
      <w:kern w:val="2"/>
      <w:sz w:val="21"/>
      <w:szCs w:val="24"/>
      <w:lang w:val="en-US" w:eastAsia="zh-CN" w:bidi="ar-SA"/>
    </w:rPr>
  </w:style>
  <w:style w:type="character" w:default="1" w:styleId="8">
    <w:name w:val="Default Paragraph Font"/>
    <w:autoRedefine/>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customStyle="1" w:styleId="2">
    <w:name w:val="Body Text First Indent 2"/>
    <w:basedOn w:val="3"/>
    <w:uiPriority w:val="0"/>
    <w:pPr>
      <w:tabs>
        <w:tab w:val="left" w:pos="-900"/>
      </w:tabs>
      <w:spacing w:after="120"/>
      <w:ind w:left="420" w:leftChars="200" w:firstLine="420"/>
    </w:pPr>
    <w:rPr>
      <w:sz w:val="21"/>
    </w:rPr>
  </w:style>
  <w:style w:type="paragraph" w:customStyle="1" w:styleId="3">
    <w:name w:val="Body Text Indent"/>
    <w:basedOn w:val="1"/>
    <w:next w:val="4"/>
    <w:uiPriority w:val="0"/>
    <w:pPr>
      <w:ind w:firstLine="560" w:firstLineChars="200"/>
    </w:pPr>
    <w:rPr>
      <w:sz w:val="28"/>
    </w:rPr>
  </w:style>
  <w:style w:type="paragraph" w:customStyle="1" w:styleId="4">
    <w:name w:val="envelope return"/>
    <w:basedOn w:val="1"/>
    <w:autoRedefine/>
    <w:qFormat/>
    <w:uiPriority w:val="0"/>
    <w:pPr>
      <w:snapToGrid w:val="0"/>
    </w:pPr>
    <w:rPr>
      <w:rFonts w:ascii="Arial" w:hAnsi="Arial"/>
    </w:rPr>
  </w:style>
  <w:style w:type="paragraph" w:styleId="5">
    <w:name w:val="footer"/>
    <w:basedOn w:val="1"/>
    <w:link w:val="9"/>
    <w:autoRedefine/>
    <w:qFormat/>
    <w:uiPriority w:val="0"/>
    <w:pPr>
      <w:tabs>
        <w:tab w:val="center" w:pos="4153"/>
        <w:tab w:val="right" w:pos="8306"/>
      </w:tabs>
      <w:snapToGrid w:val="0"/>
      <w:jc w:val="left"/>
    </w:pPr>
    <w:rPr>
      <w:kern w:val="2"/>
      <w:sz w:val="18"/>
      <w:szCs w:val="18"/>
    </w:rPr>
  </w:style>
  <w:style w:type="paragraph" w:styleId="6">
    <w:name w:val="header"/>
    <w:basedOn w:val="1"/>
    <w:link w:val="10"/>
    <w:autoRedefine/>
    <w:qFormat/>
    <w:uiPriority w:val="0"/>
    <w:pPr>
      <w:pBdr>
        <w:bottom w:val="single" w:color="auto" w:sz="6" w:space="1"/>
      </w:pBdr>
      <w:tabs>
        <w:tab w:val="center" w:pos="4153"/>
        <w:tab w:val="right" w:pos="8306"/>
      </w:tabs>
      <w:snapToGrid w:val="0"/>
      <w:jc w:val="center"/>
    </w:pPr>
    <w:rPr>
      <w:kern w:val="2"/>
      <w:sz w:val="18"/>
      <w:szCs w:val="18"/>
    </w:rPr>
  </w:style>
  <w:style w:type="character" w:customStyle="1" w:styleId="9">
    <w:name w:val="页脚 Char"/>
    <w:basedOn w:val="8"/>
    <w:link w:val="5"/>
    <w:autoRedefine/>
    <w:semiHidden/>
    <w:qFormat/>
    <w:uiPriority w:val="0"/>
    <w:rPr>
      <w:kern w:val="2"/>
      <w:sz w:val="18"/>
      <w:szCs w:val="18"/>
    </w:rPr>
  </w:style>
  <w:style w:type="character" w:customStyle="1" w:styleId="10">
    <w:name w:val="页眉 Char"/>
    <w:basedOn w:val="8"/>
    <w:link w:val="6"/>
    <w:autoRedefine/>
    <w:semiHidden/>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6681</Words>
  <Characters>7030</Characters>
  <Lines>1</Lines>
  <Paragraphs>1</Paragraphs>
  <TotalTime>15</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2014-10-30T04:08:00Z</dcterms:created>
  <dc:creator>Administrator</dc:creator>
  <cp:lastModifiedBy>斌</cp:lastModifiedBy>
  <cp:lastPrinted>2024-01-22T02:34:00Z</cp:lastPrinted>
  <dcterms:modified xsi:type="dcterms:W3CDTF">2024-01-22T03:41:13Z</dcterms:modified>
  <dc:title>斌</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D6639D3F8F1B427E94FBFAD924BE0B8C_13</vt:lpwstr>
  </property>
</Properties>
</file>