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ink/ink1.xml" ContentType="application/inkml+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cs="Times New Roman"/>
          <w:sz w:val="28"/>
          <w:szCs w:val="28"/>
        </w:rPr>
      </w:pPr>
      <w:bookmarkStart w:id="15" w:name="_GoBack"/>
      <w:bookmarkEnd w:id="15"/>
      <w:r>
        <w:rPr>
          <w:rFonts w:ascii="Times New Roman" w:hAnsi="Times New Roman" w:cs="Times New Roman"/>
          <w:sz w:val="28"/>
          <w:szCs w:val="28"/>
        </w:rPr>
        <w:t>附件：</w:t>
      </w:r>
    </w:p>
    <w:p>
      <w:pPr>
        <w:jc w:val="center"/>
        <w:rPr>
          <w:rFonts w:ascii="Times New Roman" w:hAnsi="Times New Roman" w:eastAsia="黑体" w:cs="Times New Roman"/>
          <w:sz w:val="36"/>
          <w:szCs w:val="36"/>
        </w:rPr>
      </w:pPr>
      <w:r>
        <w:rPr>
          <w:rFonts w:ascii="Times New Roman" w:hAnsi="Times New Roman" w:eastAsia="黑体" w:cs="Times New Roman"/>
          <w:sz w:val="36"/>
          <w:szCs w:val="36"/>
        </w:rPr>
        <w:t>《弋阳县土地征收成片开发方案（2022—2023年）》</w:t>
      </w:r>
    </w:p>
    <w:p>
      <w:pPr>
        <w:jc w:val="center"/>
        <w:rPr>
          <w:rFonts w:ascii="Times New Roman" w:hAnsi="Times New Roman" w:eastAsia="黑体" w:cs="Times New Roman"/>
          <w:sz w:val="36"/>
          <w:szCs w:val="36"/>
        </w:rPr>
      </w:pPr>
      <w:r>
        <w:rPr>
          <w:rFonts w:ascii="Times New Roman" w:hAnsi="Times New Roman" w:eastAsia="黑体" w:cs="Times New Roman"/>
          <w:sz w:val="36"/>
          <w:szCs w:val="36"/>
        </w:rPr>
        <w:t>公示草案</w:t>
      </w: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rPr>
          <w:rFonts w:ascii="Times New Roman" w:hAnsi="Times New Roman" w:eastAsia="黑体" w:cs="Times New Roman"/>
          <w:sz w:val="28"/>
          <w:szCs w:val="28"/>
        </w:rPr>
      </w:pPr>
    </w:p>
    <w:p>
      <w:pPr>
        <w:jc w:val="center"/>
        <w:rPr>
          <w:rFonts w:ascii="Times New Roman" w:hAnsi="Times New Roman" w:eastAsia="黑体" w:cs="Times New Roman"/>
          <w:sz w:val="28"/>
          <w:szCs w:val="28"/>
        </w:rPr>
      </w:pPr>
      <w:r>
        <w:rPr>
          <w:rFonts w:ascii="Times New Roman" w:hAnsi="Times New Roman" w:eastAsia="黑体" w:cs="Times New Roman"/>
          <w:sz w:val="28"/>
          <w:szCs w:val="28"/>
        </w:rPr>
        <w:t>2022年8月</w:t>
      </w:r>
    </w:p>
    <w:p>
      <w:pPr>
        <w:rPr>
          <w:rFonts w:ascii="Times New Roman" w:hAnsi="Times New Roman" w:eastAsia="黑体" w:cs="Times New Roman"/>
          <w:sz w:val="28"/>
          <w:szCs w:val="28"/>
        </w:rPr>
        <w:sectPr>
          <w:footerReference r:id="rId4" w:type="first"/>
          <w:footerReference r:id="rId3" w:type="default"/>
          <w:pgSz w:w="11906" w:h="16838"/>
          <w:pgMar w:top="1440" w:right="1800" w:bottom="1440" w:left="1800" w:header="851" w:footer="992" w:gutter="0"/>
          <w:pgNumType w:start="1"/>
          <w:cols w:space="425" w:num="1"/>
          <w:titlePg/>
          <w:docGrid w:type="lines" w:linePitch="312" w:charSpace="0"/>
        </w:sectPr>
      </w:pPr>
    </w:p>
    <w:sdt>
      <w:sdtPr>
        <w:rPr>
          <w:rFonts w:ascii="Times New Roman" w:hAnsi="Times New Roman" w:cs="Times New Roman" w:eastAsiaTheme="minorEastAsia"/>
          <w:color w:val="auto"/>
          <w:kern w:val="2"/>
          <w:sz w:val="21"/>
          <w:szCs w:val="22"/>
          <w:lang w:val="zh-CN"/>
        </w:rPr>
        <w:id w:val="420065150"/>
        <w:docPartObj>
          <w:docPartGallery w:val="Table of Contents"/>
          <w:docPartUnique/>
        </w:docPartObj>
      </w:sdtPr>
      <w:sdtEndPr>
        <w:rPr>
          <w:rFonts w:ascii="Times New Roman" w:hAnsi="Times New Roman" w:eastAsia="仿宋_GB2312" w:cs="Times New Roman"/>
          <w:b/>
          <w:bCs/>
          <w:color w:val="auto"/>
          <w:kern w:val="2"/>
          <w:sz w:val="21"/>
          <w:szCs w:val="22"/>
          <w:lang w:val="zh-CN"/>
        </w:rPr>
      </w:sdtEndPr>
      <w:sdtContent>
        <w:p>
          <w:pPr>
            <w:pStyle w:val="18"/>
            <w:jc w:val="center"/>
            <w:rPr>
              <w:rFonts w:ascii="Times New Roman" w:hAnsi="Times New Roman" w:eastAsia="仿宋_GB2312" w:cs="Times New Roman"/>
              <w:b/>
              <w:color w:val="000000" w:themeColor="text1"/>
              <w:sz w:val="28"/>
              <w:szCs w:val="28"/>
              <w14:shadow w14:blurRad="38100" w14:dist="19050" w14:dir="2700000" w14:sx="100000" w14:sy="100000" w14:kx="0" w14:ky="0" w14:algn="tl">
                <w14:schemeClr w14:val="dk1">
                  <w14:alpha w14:val="60000"/>
                </w14:schemeClr>
              </w14:shadow>
              <w14:textFill>
                <w14:solidFill>
                  <w14:schemeClr w14:val="tx1"/>
                </w14:solidFill>
              </w14:textFill>
            </w:rPr>
          </w:pPr>
          <w:r>
            <w:rPr>
              <w:rFonts w:ascii="Times New Roman" w:hAnsi="Times New Roman" w:eastAsia="仿宋_GB2312" w:cs="Times New Roman"/>
              <w:b/>
              <w:color w:val="000000" w:themeColor="text1"/>
              <w:sz w:val="28"/>
              <w:szCs w:val="28"/>
              <w:lang w:val="zh-CN"/>
              <w14:shadow w14:blurRad="38100" w14:dist="19050" w14:dir="2700000" w14:sx="100000" w14:sy="100000" w14:kx="0" w14:ky="0" w14:algn="tl">
                <w14:schemeClr w14:val="dk1">
                  <w14:alpha w14:val="60000"/>
                </w14:schemeClr>
              </w14:shadow>
              <w14:textFill>
                <w14:solidFill>
                  <w14:schemeClr w14:val="tx1"/>
                </w14:solidFill>
              </w14:textFill>
            </w:rPr>
            <w:t>目录</w:t>
          </w:r>
        </w:p>
        <w:p>
          <w:pPr>
            <w:pStyle w:val="6"/>
            <w:tabs>
              <w:tab w:val="right" w:leader="dot" w:pos="8296"/>
            </w:tabs>
            <w:jc w:val="both"/>
            <w:rPr>
              <w:rFonts w:ascii="Times New Roman" w:hAnsi="Times New Roman" w:eastAsia="仿宋_GB2312" w:cs="Times New Roman"/>
              <w:b/>
              <w:kern w:val="2"/>
              <w:sz w:val="28"/>
              <w:szCs w:val="28"/>
            </w:rPr>
          </w:pP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TOC \o "1-3" \h \z \u </w:instrText>
          </w:r>
          <w:r>
            <w:rPr>
              <w:rFonts w:ascii="Times New Roman" w:hAnsi="Times New Roman" w:eastAsia="仿宋_GB2312" w:cs="Times New Roman"/>
              <w:b/>
              <w:sz w:val="28"/>
              <w:szCs w:val="28"/>
            </w:rPr>
            <w:fldChar w:fldCharType="separate"/>
          </w:r>
          <w:r>
            <w:fldChar w:fldCharType="begin"/>
          </w:r>
          <w:r>
            <w:instrText xml:space="preserve"> HYPERLINK \l "_Toc74694663" </w:instrText>
          </w:r>
          <w:r>
            <w:fldChar w:fldCharType="separate"/>
          </w:r>
          <w:r>
            <w:rPr>
              <w:rStyle w:val="13"/>
              <w:rFonts w:ascii="Times New Roman" w:hAnsi="Times New Roman" w:eastAsia="仿宋_GB2312" w:cs="Times New Roman"/>
              <w:b/>
              <w:sz w:val="28"/>
              <w:szCs w:val="28"/>
            </w:rPr>
            <w:t>一、编制原则和依据</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_Toc74694663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1</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8"/>
            <w:tabs>
              <w:tab w:val="right" w:leader="dot" w:pos="8296"/>
            </w:tabs>
            <w:jc w:val="both"/>
            <w:rPr>
              <w:rFonts w:ascii="Times New Roman" w:hAnsi="Times New Roman" w:eastAsia="仿宋_GB2312"/>
              <w:b/>
              <w:kern w:val="2"/>
              <w:sz w:val="28"/>
              <w:szCs w:val="28"/>
            </w:rPr>
          </w:pPr>
          <w:r>
            <w:fldChar w:fldCharType="begin"/>
          </w:r>
          <w:r>
            <w:instrText xml:space="preserve"> HYPERLINK \l "_Toc74694664" </w:instrText>
          </w:r>
          <w:r>
            <w:fldChar w:fldCharType="separate"/>
          </w:r>
          <w:r>
            <w:rPr>
              <w:rStyle w:val="13"/>
              <w:rFonts w:ascii="Times New Roman" w:hAnsi="Times New Roman" w:eastAsia="仿宋_GB2312"/>
              <w:b/>
              <w:sz w:val="28"/>
              <w:szCs w:val="28"/>
            </w:rPr>
            <w:t>（一）编制原则</w:t>
          </w:r>
          <w:r>
            <w:rPr>
              <w:rFonts w:ascii="Times New Roman" w:hAnsi="Times New Roman" w:eastAsia="仿宋_GB2312"/>
              <w:b/>
              <w:sz w:val="28"/>
              <w:szCs w:val="28"/>
            </w:rPr>
            <w:tab/>
          </w:r>
          <w:r>
            <w:rPr>
              <w:rFonts w:ascii="Times New Roman" w:hAnsi="Times New Roman" w:eastAsia="仿宋_GB2312"/>
              <w:b/>
              <w:sz w:val="28"/>
              <w:szCs w:val="28"/>
            </w:rPr>
            <w:fldChar w:fldCharType="begin"/>
          </w:r>
          <w:r>
            <w:rPr>
              <w:rFonts w:ascii="Times New Roman" w:hAnsi="Times New Roman" w:eastAsia="仿宋_GB2312"/>
              <w:b/>
              <w:sz w:val="28"/>
              <w:szCs w:val="28"/>
            </w:rPr>
            <w:instrText xml:space="preserve"> PAGEREF _Toc74694664 \h </w:instrText>
          </w:r>
          <w:r>
            <w:rPr>
              <w:rFonts w:ascii="Times New Roman" w:hAnsi="Times New Roman" w:eastAsia="仿宋_GB2312"/>
              <w:b/>
              <w:sz w:val="28"/>
              <w:szCs w:val="28"/>
            </w:rPr>
            <w:fldChar w:fldCharType="separate"/>
          </w:r>
          <w:r>
            <w:rPr>
              <w:rFonts w:ascii="Times New Roman" w:hAnsi="Times New Roman" w:eastAsia="仿宋_GB2312"/>
              <w:b/>
              <w:sz w:val="28"/>
              <w:szCs w:val="28"/>
            </w:rPr>
            <w:t>1</w:t>
          </w:r>
          <w:r>
            <w:rPr>
              <w:rFonts w:ascii="Times New Roman" w:hAnsi="Times New Roman" w:eastAsia="仿宋_GB2312"/>
              <w:b/>
              <w:sz w:val="28"/>
              <w:szCs w:val="28"/>
            </w:rPr>
            <w:fldChar w:fldCharType="end"/>
          </w:r>
          <w:r>
            <w:rPr>
              <w:rFonts w:ascii="Times New Roman" w:hAnsi="Times New Roman" w:eastAsia="仿宋_GB2312"/>
              <w:b/>
              <w:sz w:val="28"/>
              <w:szCs w:val="28"/>
            </w:rPr>
            <w:fldChar w:fldCharType="end"/>
          </w:r>
        </w:p>
        <w:p>
          <w:pPr>
            <w:pStyle w:val="8"/>
            <w:tabs>
              <w:tab w:val="right" w:leader="dot" w:pos="8296"/>
            </w:tabs>
            <w:jc w:val="both"/>
            <w:rPr>
              <w:rFonts w:ascii="Times New Roman" w:hAnsi="Times New Roman" w:eastAsia="仿宋_GB2312"/>
              <w:b/>
              <w:kern w:val="2"/>
              <w:sz w:val="28"/>
              <w:szCs w:val="28"/>
            </w:rPr>
          </w:pPr>
          <w:r>
            <w:fldChar w:fldCharType="begin"/>
          </w:r>
          <w:r>
            <w:instrText xml:space="preserve"> HYPERLINK \l "_Toc74694665" </w:instrText>
          </w:r>
          <w:r>
            <w:fldChar w:fldCharType="separate"/>
          </w:r>
          <w:r>
            <w:rPr>
              <w:rStyle w:val="13"/>
              <w:rFonts w:ascii="Times New Roman" w:hAnsi="Times New Roman" w:eastAsia="仿宋_GB2312"/>
              <w:b/>
              <w:sz w:val="28"/>
              <w:szCs w:val="28"/>
            </w:rPr>
            <w:t>（二）编制依据</w:t>
          </w:r>
          <w:r>
            <w:rPr>
              <w:rFonts w:ascii="Times New Roman" w:hAnsi="Times New Roman" w:eastAsia="仿宋_GB2312"/>
              <w:b/>
              <w:sz w:val="28"/>
              <w:szCs w:val="28"/>
            </w:rPr>
            <w:tab/>
          </w:r>
          <w:r>
            <w:rPr>
              <w:rFonts w:ascii="Times New Roman" w:hAnsi="Times New Roman" w:eastAsia="仿宋_GB2312"/>
              <w:b/>
              <w:sz w:val="28"/>
              <w:szCs w:val="28"/>
            </w:rPr>
            <w:fldChar w:fldCharType="begin"/>
          </w:r>
          <w:r>
            <w:rPr>
              <w:rFonts w:ascii="Times New Roman" w:hAnsi="Times New Roman" w:eastAsia="仿宋_GB2312"/>
              <w:b/>
              <w:sz w:val="28"/>
              <w:szCs w:val="28"/>
            </w:rPr>
            <w:instrText xml:space="preserve"> PAGEREF _Toc74694665 \h </w:instrText>
          </w:r>
          <w:r>
            <w:rPr>
              <w:rFonts w:ascii="Times New Roman" w:hAnsi="Times New Roman" w:eastAsia="仿宋_GB2312"/>
              <w:b/>
              <w:sz w:val="28"/>
              <w:szCs w:val="28"/>
            </w:rPr>
            <w:fldChar w:fldCharType="separate"/>
          </w:r>
          <w:r>
            <w:rPr>
              <w:rFonts w:ascii="Times New Roman" w:hAnsi="Times New Roman" w:eastAsia="仿宋_GB2312"/>
              <w:b/>
              <w:sz w:val="28"/>
              <w:szCs w:val="28"/>
            </w:rPr>
            <w:t>1</w:t>
          </w:r>
          <w:r>
            <w:rPr>
              <w:rFonts w:ascii="Times New Roman" w:hAnsi="Times New Roman" w:eastAsia="仿宋_GB2312"/>
              <w:b/>
              <w:sz w:val="28"/>
              <w:szCs w:val="28"/>
            </w:rPr>
            <w:fldChar w:fldCharType="end"/>
          </w:r>
          <w:r>
            <w:rPr>
              <w:rFonts w:ascii="Times New Roman" w:hAnsi="Times New Roman" w:eastAsia="仿宋_GB2312"/>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"_Toc74694666" </w:instrText>
          </w:r>
          <w:r>
            <w:fldChar w:fldCharType="separate"/>
          </w:r>
          <w:r>
            <w:rPr>
              <w:rStyle w:val="13"/>
              <w:rFonts w:ascii="Times New Roman" w:hAnsi="Times New Roman" w:eastAsia="仿宋_GB2312" w:cs="Times New Roman"/>
              <w:b/>
              <w:sz w:val="28"/>
              <w:szCs w:val="28"/>
            </w:rPr>
            <w:t>二、成片开发区域基本情况</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_Toc74694666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4</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"_Toc74694667" </w:instrText>
          </w:r>
          <w:r>
            <w:fldChar w:fldCharType="separate"/>
          </w:r>
          <w:r>
            <w:rPr>
              <w:rStyle w:val="13"/>
              <w:rFonts w:ascii="Times New Roman" w:hAnsi="Times New Roman" w:eastAsia="仿宋_GB2312" w:cs="Times New Roman"/>
              <w:b/>
              <w:sz w:val="28"/>
              <w:szCs w:val="28"/>
            </w:rPr>
            <w:t>三、成片开发范围内年度实施计划及拟征地情况</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_Toc74694667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5</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"_Toc74694668" </w:instrText>
          </w:r>
          <w:r>
            <w:fldChar w:fldCharType="separate"/>
          </w:r>
          <w:r>
            <w:rPr>
              <w:rStyle w:val="13"/>
              <w:rFonts w:ascii="Times New Roman" w:hAnsi="Times New Roman" w:eastAsia="仿宋_GB2312" w:cs="Times New Roman"/>
              <w:b/>
              <w:sz w:val="28"/>
              <w:szCs w:val="28"/>
            </w:rPr>
            <w:t>四、成片开发必要性、主要用途和实现的功能</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_Toc74694668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5</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8"/>
            <w:tabs>
              <w:tab w:val="right" w:leader="dot" w:pos="8296"/>
            </w:tabs>
            <w:jc w:val="both"/>
            <w:rPr>
              <w:rFonts w:ascii="Times New Roman" w:hAnsi="Times New Roman" w:eastAsia="仿宋_GB2312"/>
              <w:b/>
              <w:kern w:val="2"/>
              <w:sz w:val="28"/>
              <w:szCs w:val="28"/>
            </w:rPr>
          </w:pPr>
          <w:r>
            <w:fldChar w:fldCharType="begin"/>
          </w:r>
          <w:r>
            <w:instrText xml:space="preserve"> HYPERLINK \l "_Toc74694669" </w:instrText>
          </w:r>
          <w:r>
            <w:fldChar w:fldCharType="separate"/>
          </w:r>
          <w:r>
            <w:rPr>
              <w:rStyle w:val="13"/>
              <w:rFonts w:ascii="Times New Roman" w:hAnsi="Times New Roman" w:eastAsia="仿宋_GB2312"/>
              <w:b/>
              <w:sz w:val="28"/>
              <w:szCs w:val="28"/>
            </w:rPr>
            <w:t>（一）成片开发必要性</w:t>
          </w:r>
          <w:r>
            <w:rPr>
              <w:rFonts w:ascii="Times New Roman" w:hAnsi="Times New Roman" w:eastAsia="仿宋_GB2312"/>
              <w:b/>
              <w:sz w:val="28"/>
              <w:szCs w:val="28"/>
            </w:rPr>
            <w:tab/>
          </w:r>
          <w:r>
            <w:rPr>
              <w:rFonts w:ascii="Times New Roman" w:hAnsi="Times New Roman" w:eastAsia="仿宋_GB2312"/>
              <w:b/>
              <w:sz w:val="28"/>
              <w:szCs w:val="28"/>
            </w:rPr>
            <w:fldChar w:fldCharType="begin"/>
          </w:r>
          <w:r>
            <w:rPr>
              <w:rFonts w:ascii="Times New Roman" w:hAnsi="Times New Roman" w:eastAsia="仿宋_GB2312"/>
              <w:b/>
              <w:sz w:val="28"/>
              <w:szCs w:val="28"/>
            </w:rPr>
            <w:instrText xml:space="preserve"> PAGEREF _Toc74694669 \h </w:instrText>
          </w:r>
          <w:r>
            <w:rPr>
              <w:rFonts w:ascii="Times New Roman" w:hAnsi="Times New Roman" w:eastAsia="仿宋_GB2312"/>
              <w:b/>
              <w:sz w:val="28"/>
              <w:szCs w:val="28"/>
            </w:rPr>
            <w:fldChar w:fldCharType="separate"/>
          </w:r>
          <w:r>
            <w:rPr>
              <w:rFonts w:ascii="Times New Roman" w:hAnsi="Times New Roman" w:eastAsia="仿宋_GB2312"/>
              <w:b/>
              <w:sz w:val="28"/>
              <w:szCs w:val="28"/>
            </w:rPr>
            <w:t>5</w:t>
          </w:r>
          <w:r>
            <w:rPr>
              <w:rFonts w:ascii="Times New Roman" w:hAnsi="Times New Roman" w:eastAsia="仿宋_GB2312"/>
              <w:b/>
              <w:sz w:val="28"/>
              <w:szCs w:val="28"/>
            </w:rPr>
            <w:fldChar w:fldCharType="end"/>
          </w:r>
          <w:r>
            <w:rPr>
              <w:rFonts w:ascii="Times New Roman" w:hAnsi="Times New Roman" w:eastAsia="仿宋_GB2312"/>
              <w:b/>
              <w:sz w:val="28"/>
              <w:szCs w:val="28"/>
            </w:rPr>
            <w:fldChar w:fldCharType="end"/>
          </w:r>
        </w:p>
        <w:p>
          <w:pPr>
            <w:pStyle w:val="8"/>
            <w:tabs>
              <w:tab w:val="right" w:leader="dot" w:pos="8296"/>
            </w:tabs>
            <w:jc w:val="both"/>
            <w:rPr>
              <w:rFonts w:ascii="Times New Roman" w:hAnsi="Times New Roman" w:eastAsia="仿宋_GB2312"/>
              <w:b/>
              <w:kern w:val="2"/>
              <w:sz w:val="28"/>
              <w:szCs w:val="28"/>
            </w:rPr>
          </w:pPr>
          <w:r>
            <w:fldChar w:fldCharType="begin"/>
          </w:r>
          <w:r>
            <w:instrText xml:space="preserve"> HYPERLINK \l "_Toc74694670" </w:instrText>
          </w:r>
          <w:r>
            <w:fldChar w:fldCharType="separate"/>
          </w:r>
          <w:r>
            <w:rPr>
              <w:rStyle w:val="13"/>
              <w:rFonts w:ascii="Times New Roman" w:hAnsi="Times New Roman" w:eastAsia="仿宋_GB2312"/>
              <w:b/>
              <w:sz w:val="28"/>
              <w:szCs w:val="28"/>
            </w:rPr>
            <w:t>（二）成片开发可实现功能</w:t>
          </w:r>
          <w:r>
            <w:rPr>
              <w:rFonts w:ascii="Times New Roman" w:hAnsi="Times New Roman" w:eastAsia="仿宋_GB2312"/>
              <w:b/>
              <w:sz w:val="28"/>
              <w:szCs w:val="28"/>
            </w:rPr>
            <w:tab/>
          </w:r>
          <w:r>
            <w:rPr>
              <w:rFonts w:ascii="Times New Roman" w:hAnsi="Times New Roman" w:eastAsia="仿宋_GB2312"/>
              <w:b/>
              <w:sz w:val="28"/>
              <w:szCs w:val="28"/>
            </w:rPr>
            <w:fldChar w:fldCharType="begin"/>
          </w:r>
          <w:r>
            <w:rPr>
              <w:rFonts w:ascii="Times New Roman" w:hAnsi="Times New Roman" w:eastAsia="仿宋_GB2312"/>
              <w:b/>
              <w:sz w:val="28"/>
              <w:szCs w:val="28"/>
            </w:rPr>
            <w:instrText xml:space="preserve"> PAGEREF _Toc74694670 \h </w:instrText>
          </w:r>
          <w:r>
            <w:rPr>
              <w:rFonts w:ascii="Times New Roman" w:hAnsi="Times New Roman" w:eastAsia="仿宋_GB2312"/>
              <w:b/>
              <w:sz w:val="28"/>
              <w:szCs w:val="28"/>
            </w:rPr>
            <w:fldChar w:fldCharType="separate"/>
          </w:r>
          <w:r>
            <w:rPr>
              <w:rFonts w:ascii="Times New Roman" w:hAnsi="Times New Roman" w:eastAsia="仿宋_GB2312"/>
              <w:b/>
              <w:sz w:val="28"/>
              <w:szCs w:val="28"/>
            </w:rPr>
            <w:t>6</w:t>
          </w:r>
          <w:r>
            <w:rPr>
              <w:rFonts w:ascii="Times New Roman" w:hAnsi="Times New Roman" w:eastAsia="仿宋_GB2312"/>
              <w:b/>
              <w:sz w:val="28"/>
              <w:szCs w:val="28"/>
            </w:rPr>
            <w:fldChar w:fldCharType="end"/>
          </w:r>
          <w:r>
            <w:rPr>
              <w:rFonts w:ascii="Times New Roman" w:hAnsi="Times New Roman" w:eastAsia="仿宋_GB2312"/>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"_Toc74694671" </w:instrText>
          </w:r>
          <w:r>
            <w:fldChar w:fldCharType="separate"/>
          </w:r>
          <w:r>
            <w:rPr>
              <w:rStyle w:val="13"/>
              <w:rFonts w:ascii="Times New Roman" w:hAnsi="Times New Roman" w:eastAsia="仿宋_GB2312" w:cs="Times New Roman"/>
              <w:b/>
              <w:sz w:val="28"/>
              <w:szCs w:val="28"/>
            </w:rPr>
            <w:t>五、土地用途分析</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_Toc74694671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6</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"_Toc74694672" </w:instrText>
          </w:r>
          <w:r>
            <w:fldChar w:fldCharType="separate"/>
          </w:r>
          <w:r>
            <w:rPr>
              <w:rStyle w:val="13"/>
              <w:rFonts w:ascii="Times New Roman" w:hAnsi="Times New Roman" w:eastAsia="仿宋_GB2312" w:cs="Times New Roman"/>
              <w:b/>
              <w:sz w:val="28"/>
              <w:szCs w:val="28"/>
            </w:rPr>
            <w:t>六、规划符合性分析</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_Toc74694672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6</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"_Toc74694673" </w:instrText>
          </w:r>
          <w:r>
            <w:fldChar w:fldCharType="separate"/>
          </w:r>
          <w:r>
            <w:rPr>
              <w:rStyle w:val="13"/>
              <w:rFonts w:ascii="Times New Roman" w:hAnsi="Times New Roman" w:eastAsia="仿宋_GB2312" w:cs="Times New Roman"/>
              <w:b/>
              <w:sz w:val="28"/>
              <w:szCs w:val="28"/>
            </w:rPr>
            <w:t>七、成片开发公益性用地</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_Toc74694673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7</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left" w:pos="600"/>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"_Toc74694674" </w:instrText>
          </w:r>
          <w:r>
            <w:fldChar w:fldCharType="separate"/>
          </w:r>
          <w:r>
            <w:rPr>
              <w:rStyle w:val="13"/>
              <w:rFonts w:ascii="Times New Roman" w:hAnsi="Times New Roman" w:eastAsia="仿宋_GB2312" w:cs="Times New Roman"/>
              <w:b/>
              <w:sz w:val="28"/>
              <w:szCs w:val="28"/>
            </w:rPr>
            <w:t>八、</w:t>
          </w:r>
          <w:r>
            <w:rPr>
              <w:rFonts w:ascii="Times New Roman" w:hAnsi="Times New Roman" w:eastAsia="仿宋_GB2312" w:cs="Times New Roman"/>
              <w:b/>
              <w:kern w:val="2"/>
              <w:sz w:val="28"/>
              <w:szCs w:val="28"/>
            </w:rPr>
            <w:tab/>
          </w:r>
          <w:r>
            <w:rPr>
              <w:rStyle w:val="13"/>
              <w:rFonts w:ascii="Times New Roman" w:hAnsi="Times New Roman" w:eastAsia="仿宋_GB2312" w:cs="Times New Roman"/>
              <w:b/>
              <w:sz w:val="28"/>
              <w:szCs w:val="28"/>
            </w:rPr>
            <w:t>效益评估</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_Toc74694674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7</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"_Toc74694675" </w:instrText>
          </w:r>
          <w:r>
            <w:fldChar w:fldCharType="separate"/>
          </w:r>
          <w:r>
            <w:rPr>
              <w:rStyle w:val="13"/>
              <w:rFonts w:ascii="Times New Roman" w:hAnsi="Times New Roman" w:eastAsia="仿宋_GB2312" w:cs="Times New Roman"/>
              <w:b/>
              <w:sz w:val="28"/>
              <w:szCs w:val="28"/>
            </w:rPr>
            <w:t>九、征地安置补偿措施</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_Toc74694675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8</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pStyle w:val="6"/>
            <w:tabs>
              <w:tab w:val="right" w:leader="dot" w:pos="8296"/>
            </w:tabs>
            <w:jc w:val="both"/>
            <w:rPr>
              <w:rFonts w:ascii="Times New Roman" w:hAnsi="Times New Roman" w:eastAsia="仿宋_GB2312" w:cs="Times New Roman"/>
              <w:b/>
              <w:kern w:val="2"/>
              <w:sz w:val="28"/>
              <w:szCs w:val="28"/>
            </w:rPr>
          </w:pPr>
          <w:r>
            <w:fldChar w:fldCharType="begin"/>
          </w:r>
          <w:r>
            <w:instrText xml:space="preserve"> HYPERLINK \l "_Toc74694676" </w:instrText>
          </w:r>
          <w:r>
            <w:fldChar w:fldCharType="separate"/>
          </w:r>
          <w:r>
            <w:rPr>
              <w:rStyle w:val="13"/>
              <w:rFonts w:ascii="Times New Roman" w:hAnsi="Times New Roman" w:eastAsia="仿宋_GB2312" w:cs="Times New Roman"/>
              <w:b/>
              <w:sz w:val="28"/>
              <w:szCs w:val="28"/>
            </w:rPr>
            <w:t>十、结论</w:t>
          </w:r>
          <w:r>
            <w:rPr>
              <w:rFonts w:ascii="Times New Roman" w:hAnsi="Times New Roman" w:eastAsia="仿宋_GB2312" w:cs="Times New Roman"/>
              <w:b/>
              <w:sz w:val="28"/>
              <w:szCs w:val="28"/>
            </w:rPr>
            <w:tab/>
          </w:r>
          <w:r>
            <w:rPr>
              <w:rFonts w:ascii="Times New Roman" w:hAnsi="Times New Roman" w:eastAsia="仿宋_GB2312" w:cs="Times New Roman"/>
              <w:b/>
              <w:sz w:val="28"/>
              <w:szCs w:val="28"/>
            </w:rPr>
            <w:fldChar w:fldCharType="begin"/>
          </w:r>
          <w:r>
            <w:rPr>
              <w:rFonts w:ascii="Times New Roman" w:hAnsi="Times New Roman" w:eastAsia="仿宋_GB2312" w:cs="Times New Roman"/>
              <w:b/>
              <w:sz w:val="28"/>
              <w:szCs w:val="28"/>
            </w:rPr>
            <w:instrText xml:space="preserve"> PAGEREF _Toc74694676 \h </w:instrText>
          </w:r>
          <w:r>
            <w:rPr>
              <w:rFonts w:ascii="Times New Roman" w:hAnsi="Times New Roman" w:eastAsia="仿宋_GB2312" w:cs="Times New Roman"/>
              <w:b/>
              <w:sz w:val="28"/>
              <w:szCs w:val="28"/>
            </w:rPr>
            <w:fldChar w:fldCharType="separate"/>
          </w:r>
          <w:r>
            <w:rPr>
              <w:rFonts w:ascii="Times New Roman" w:hAnsi="Times New Roman" w:eastAsia="仿宋_GB2312" w:cs="Times New Roman"/>
              <w:b/>
              <w:sz w:val="28"/>
              <w:szCs w:val="28"/>
            </w:rPr>
            <w:t>8</w:t>
          </w:r>
          <w:r>
            <w:rPr>
              <w:rFonts w:ascii="Times New Roman" w:hAnsi="Times New Roman" w:eastAsia="仿宋_GB2312" w:cs="Times New Roman"/>
              <w:b/>
              <w:sz w:val="28"/>
              <w:szCs w:val="28"/>
            </w:rPr>
            <w:fldChar w:fldCharType="end"/>
          </w:r>
          <w:r>
            <w:rPr>
              <w:rFonts w:ascii="Times New Roman" w:hAnsi="Times New Roman" w:eastAsia="仿宋_GB2312" w:cs="Times New Roman"/>
              <w:b/>
              <w:sz w:val="28"/>
              <w:szCs w:val="28"/>
            </w:rPr>
            <w:fldChar w:fldCharType="end"/>
          </w:r>
        </w:p>
        <w:p>
          <w:pPr>
            <w:rPr>
              <w:rFonts w:ascii="Times New Roman" w:hAnsi="Times New Roman" w:eastAsia="仿宋_GB2312" w:cs="Times New Roman"/>
              <w:b/>
            </w:rPr>
          </w:pPr>
          <w:r>
            <w:rPr>
              <w:rFonts w:ascii="Times New Roman" w:hAnsi="Times New Roman" w:eastAsia="仿宋_GB2312" w:cs="Times New Roman"/>
              <w:b/>
              <w:bCs/>
              <w:sz w:val="28"/>
              <w:szCs w:val="28"/>
              <w:lang w:val="zh-CN"/>
            </w:rPr>
            <w:fldChar w:fldCharType="end"/>
          </w:r>
        </w:p>
      </w:sdtContent>
    </w:sdt>
    <w:p>
      <w:pPr>
        <w:pStyle w:val="14"/>
        <w:spacing w:line="360" w:lineRule="auto"/>
        <w:ind w:firstLine="0" w:firstLineChars="0"/>
        <w:outlineLvl w:val="0"/>
        <w:rPr>
          <w:rFonts w:ascii="Times New Roman" w:hAnsi="Times New Roman" w:eastAsia="仿宋_GB2312" w:cs="Times New Roman"/>
          <w:b/>
          <w:sz w:val="28"/>
          <w:szCs w:val="28"/>
        </w:rPr>
        <w:sectPr>
          <w:pgSz w:w="11906" w:h="16838"/>
          <w:pgMar w:top="1440" w:right="1800" w:bottom="1440" w:left="1800" w:header="851" w:footer="992" w:gutter="0"/>
          <w:cols w:space="425" w:num="1"/>
          <w:titlePg/>
          <w:docGrid w:type="lines" w:linePitch="312" w:charSpace="0"/>
        </w:sectPr>
      </w:pPr>
      <w:bookmarkStart w:id="0" w:name="_Toc74694663"/>
      <w:bookmarkStart w:id="1" w:name="_Toc73007670"/>
    </w:p>
    <w:p>
      <w:pPr>
        <w:pStyle w:val="14"/>
        <w:spacing w:line="360" w:lineRule="auto"/>
        <w:ind w:firstLine="0" w:firstLineChars="0"/>
        <w:outlineLvl w:val="0"/>
        <w:rPr>
          <w:rFonts w:ascii="Times New Roman" w:hAnsi="Times New Roman" w:eastAsia="黑体" w:cs="Times New Roman"/>
          <w:sz w:val="28"/>
          <w:szCs w:val="28"/>
        </w:rPr>
      </w:pPr>
      <w:r>
        <w:rPr>
          <w:rFonts w:ascii="Times New Roman" w:hAnsi="Times New Roman" w:eastAsia="黑体" w:cs="Times New Roman"/>
          <w:sz w:val="28"/>
          <w:szCs w:val="28"/>
        </w:rPr>
        <w:t>一、编制原则和依据</w:t>
      </w:r>
      <w:bookmarkEnd w:id="0"/>
      <w:bookmarkEnd w:id="1"/>
    </w:p>
    <w:p>
      <w:pPr>
        <w:pStyle w:val="14"/>
        <w:spacing w:line="360" w:lineRule="auto"/>
        <w:ind w:firstLine="0" w:firstLineChars="0"/>
        <w:outlineLvl w:val="1"/>
        <w:rPr>
          <w:rFonts w:ascii="Times New Roman" w:hAnsi="Times New Roman" w:eastAsia="黑体" w:cs="Times New Roman"/>
          <w:sz w:val="28"/>
          <w:szCs w:val="28"/>
        </w:rPr>
      </w:pPr>
      <w:bookmarkStart w:id="2" w:name="_Toc74694664"/>
      <w:r>
        <w:rPr>
          <w:rFonts w:ascii="Times New Roman" w:hAnsi="Times New Roman" w:eastAsia="黑体" w:cs="Times New Roman"/>
          <w:sz w:val="28"/>
          <w:szCs w:val="28"/>
        </w:rPr>
        <w:t>（一）编制原则</w:t>
      </w:r>
      <w:bookmarkEnd w:id="2"/>
    </w:p>
    <w:p>
      <w:pPr>
        <w:spacing w:line="360" w:lineRule="auto"/>
        <w:ind w:firstLine="560" w:firstLineChars="200"/>
        <w:rPr>
          <w:rFonts w:ascii="Times New Roman" w:hAnsi="Times New Roman" w:eastAsia="仿宋_GB2312" w:cs="Times New Roman"/>
          <w:color w:val="333333"/>
          <w:sz w:val="28"/>
          <w:szCs w:val="28"/>
          <w:shd w:val="clear" w:color="auto" w:fill="FFFFFF"/>
        </w:rPr>
      </w:pPr>
      <w:r>
        <w:rPr>
          <w:rFonts w:ascii="Times New Roman" w:hAnsi="Times New Roman" w:eastAsia="仿宋_GB2312" w:cs="Times New Roman"/>
          <w:color w:val="333333"/>
          <w:sz w:val="28"/>
          <w:szCs w:val="28"/>
          <w:shd w:val="clear" w:color="auto" w:fill="FFFFFF"/>
        </w:rPr>
        <w:t>深入贯彻落实党的十九大和十九届二中、三中、四中、五中全会精神，坚持新发展理念和以人民为中心的发展思想，注重耕地保护，维护农民合法权益；注重节约集约用地、生态环境保护，适应城镇开发需要，促进当地经济社会生态全面可持续发展。</w:t>
      </w:r>
    </w:p>
    <w:p>
      <w:pPr>
        <w:shd w:val="clear" w:color="auto" w:fill="FFFFFF"/>
        <w:spacing w:line="360" w:lineRule="auto"/>
        <w:ind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1.依法依规，尊重民意。严格执行相关法律法规，充分保障农民利益，维护农民合法权益。</w:t>
      </w:r>
    </w:p>
    <w:p>
      <w:pPr>
        <w:widowControl/>
        <w:shd w:val="clear" w:color="auto" w:fill="FFFFFF"/>
        <w:spacing w:line="360" w:lineRule="auto"/>
        <w:ind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2.坚守底线，节约集约。严守城镇开发边界、生态保护红线和历史文化保护线，坚持绿色发展，严控增量、盘活存量，实现集中、集约、集聚高效有序发展，建一片成一片，促进城镇发展由外延扩张向内涵提升转变。</w:t>
      </w:r>
    </w:p>
    <w:p>
      <w:pPr>
        <w:widowControl/>
        <w:shd w:val="clear" w:color="auto" w:fill="FFFFFF"/>
        <w:spacing w:line="360" w:lineRule="auto"/>
        <w:ind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3.统筹兼顾，持续发展。统筹兼顾经济效益、社会效益和生态效益，合理调整产业用地结构，实现土地资源的高效和可持续利用。</w:t>
      </w:r>
    </w:p>
    <w:p>
      <w:pPr>
        <w:widowControl/>
        <w:shd w:val="clear" w:color="auto" w:fill="FFFFFF"/>
        <w:spacing w:line="360" w:lineRule="auto"/>
        <w:ind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4.突出特色，集中实施。根据当地自然禀赋、人文特色和发展阶段，坚持成片征收、成片收储、成片开发，有针对性开展土地征收成片开发工作，注重解决实际问题。</w:t>
      </w:r>
    </w:p>
    <w:p>
      <w:pPr>
        <w:pStyle w:val="14"/>
        <w:spacing w:line="360" w:lineRule="auto"/>
        <w:ind w:firstLine="0" w:firstLineChars="0"/>
        <w:outlineLvl w:val="1"/>
        <w:rPr>
          <w:rFonts w:ascii="Times New Roman" w:hAnsi="Times New Roman" w:eastAsia="黑体" w:cs="Times New Roman"/>
          <w:sz w:val="28"/>
          <w:szCs w:val="28"/>
        </w:rPr>
      </w:pPr>
      <w:bookmarkStart w:id="3" w:name="_Toc74694665"/>
      <w:r>
        <w:rPr>
          <w:rFonts w:ascii="Times New Roman" w:hAnsi="Times New Roman" w:eastAsia="黑体" w:cs="Times New Roman"/>
          <w:sz w:val="28"/>
          <w:szCs w:val="28"/>
        </w:rPr>
        <w:t>（二）编制依据</w:t>
      </w:r>
      <w:bookmarkEnd w:id="3"/>
    </w:p>
    <w:p>
      <w:pPr>
        <w:pStyle w:val="14"/>
        <w:spacing w:line="360" w:lineRule="auto"/>
        <w:ind w:left="210" w:leftChars="100" w:firstLine="0" w:firstLineChars="0"/>
        <w:rPr>
          <w:rFonts w:ascii="Times New Roman" w:hAnsi="Times New Roman" w:eastAsia="仿宋_GB2312" w:cs="Times New Roman"/>
          <w:b/>
          <w:sz w:val="28"/>
          <w:szCs w:val="28"/>
        </w:rPr>
      </w:pPr>
      <w:r>
        <w:rPr>
          <w:rFonts w:ascii="Times New Roman" w:hAnsi="Times New Roman" w:eastAsia="仿宋_GB2312" w:cs="Times New Roman"/>
          <w:b/>
          <w:sz w:val="28"/>
          <w:szCs w:val="28"/>
        </w:rPr>
        <w:t>1、法律法规</w:t>
      </w:r>
    </w:p>
    <w:p>
      <w:pPr>
        <w:pStyle w:val="14"/>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（1）《中华人民共和国土地管理法》（2019年修正版）；</w:t>
      </w:r>
    </w:p>
    <w:p>
      <w:pPr>
        <w:pStyle w:val="14"/>
        <w:widowControl/>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（2）《中华人民共和国土地管理法实施条例》（2014年）；</w:t>
      </w:r>
    </w:p>
    <w:p>
      <w:pPr>
        <w:pStyle w:val="14"/>
        <w:widowControl/>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（3）《中华人民共和国城乡规划法》（2019年修正版）；</w:t>
      </w:r>
    </w:p>
    <w:p>
      <w:pPr>
        <w:pStyle w:val="14"/>
        <w:widowControl/>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（4）《中华人民共和国城市房地产管理法》（2019年修正版）；</w:t>
      </w:r>
    </w:p>
    <w:p>
      <w:pPr>
        <w:pStyle w:val="14"/>
        <w:widowControl/>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（5）《中华人民共和国环境保护法》（2014年4月24日修订）；</w:t>
      </w:r>
    </w:p>
    <w:p>
      <w:pPr>
        <w:pStyle w:val="14"/>
        <w:widowControl/>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（6）《中华人民共和国水土保持法》（2010年12月25日修订）；</w:t>
      </w:r>
    </w:p>
    <w:p>
      <w:pPr>
        <w:pStyle w:val="14"/>
        <w:widowControl/>
        <w:shd w:val="clear" w:color="auto" w:fill="FFFFFF"/>
        <w:spacing w:line="360" w:lineRule="auto"/>
        <w:ind w:left="210" w:leftChars="10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（7）《中华人民共和国森林法》（2019年12月28日修订）；</w:t>
      </w:r>
    </w:p>
    <w:p>
      <w:pPr>
        <w:widowControl/>
        <w:shd w:val="clear" w:color="auto" w:fill="FFFFFF"/>
        <w:spacing w:line="360" w:lineRule="auto"/>
        <w:ind w:left="210" w:leftChars="1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（8）《基本农田保护条例》（2011年1月8日修订）；</w:t>
      </w:r>
    </w:p>
    <w:p>
      <w:pPr>
        <w:widowControl/>
        <w:shd w:val="clear" w:color="auto" w:fill="FFFFFF"/>
        <w:spacing w:line="360" w:lineRule="auto"/>
        <w:ind w:left="210" w:leftChars="1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（9）《节约集约利用土地规定》（国土资源部令第61号）；</w:t>
      </w:r>
    </w:p>
    <w:p>
      <w:pPr>
        <w:widowControl/>
        <w:shd w:val="clear" w:color="auto" w:fill="FFFFFF"/>
        <w:spacing w:line="360" w:lineRule="auto"/>
        <w:ind w:left="210" w:leftChars="1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（10）《中华人民共和国村民委员会组织法》。</w:t>
      </w:r>
    </w:p>
    <w:p>
      <w:pPr>
        <w:pStyle w:val="14"/>
        <w:spacing w:line="360" w:lineRule="auto"/>
        <w:ind w:left="210" w:leftChars="100" w:firstLine="0" w:firstLineChars="0"/>
        <w:rPr>
          <w:rFonts w:ascii="Times New Roman" w:hAnsi="Times New Roman" w:eastAsia="仿宋_GB2312" w:cs="Times New Roman"/>
          <w:b/>
          <w:sz w:val="28"/>
          <w:szCs w:val="28"/>
        </w:rPr>
      </w:pPr>
      <w:r>
        <w:rPr>
          <w:rFonts w:ascii="Times New Roman" w:hAnsi="Times New Roman" w:eastAsia="仿宋_GB2312" w:cs="Times New Roman"/>
          <w:b/>
          <w:sz w:val="28"/>
          <w:szCs w:val="28"/>
        </w:rPr>
        <w:t>2、政策依据</w:t>
      </w:r>
    </w:p>
    <w:p>
      <w:pPr>
        <w:shd w:val="clear" w:color="auto" w:fill="FFFFFF"/>
        <w:spacing w:line="360" w:lineRule="auto"/>
        <w:ind w:left="210" w:leftChars="1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（1）《自然资源部关于印发〈土地征收成片开发标准（试行）〉的通知》（自然资规〔2020〕5号）；</w:t>
      </w:r>
    </w:p>
    <w:p>
      <w:pPr>
        <w:widowControl/>
        <w:shd w:val="clear" w:color="auto" w:fill="FFFFFF"/>
        <w:spacing w:line="360" w:lineRule="auto"/>
        <w:ind w:left="210" w:leftChars="1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（2）《江西省关于土地征收成片开发的指导意见》；</w:t>
      </w:r>
    </w:p>
    <w:p>
      <w:pPr>
        <w:widowControl/>
        <w:shd w:val="clear" w:color="auto" w:fill="FFFFFF"/>
        <w:spacing w:line="360" w:lineRule="auto"/>
        <w:ind w:left="210" w:leftChars="100"/>
        <w:rPr>
          <w:rFonts w:ascii="Times New Roman" w:hAnsi="Times New Roman" w:eastAsia="微软雅黑" w:cs="Times New Roman"/>
          <w:color w:val="333333"/>
          <w:kern w:val="0"/>
          <w:sz w:val="28"/>
          <w:szCs w:val="28"/>
        </w:rPr>
      </w:pPr>
      <w:r>
        <w:rPr>
          <w:rFonts w:ascii="Times New Roman" w:hAnsi="Times New Roman" w:eastAsia="仿宋_GB2312" w:cs="Times New Roman"/>
          <w:color w:val="333333"/>
          <w:kern w:val="0"/>
          <w:sz w:val="28"/>
          <w:szCs w:val="28"/>
        </w:rPr>
        <w:t>（3）《江西省自然资源厅关于印发土地征收成片开发方案审批指南的通知》（赣自然资办〔2021〕30号）。</w:t>
      </w:r>
    </w:p>
    <w:p>
      <w:pPr>
        <w:spacing w:line="360" w:lineRule="auto"/>
        <w:ind w:left="210" w:leftChars="100"/>
        <w:rPr>
          <w:rFonts w:ascii="Times New Roman" w:hAnsi="Times New Roman" w:eastAsia="仿宋_GB2312" w:cs="Times New Roman"/>
          <w:b/>
          <w:sz w:val="28"/>
          <w:szCs w:val="28"/>
        </w:rPr>
      </w:pPr>
      <w:r>
        <w:rPr>
          <w:rFonts w:ascii="Times New Roman" w:hAnsi="Times New Roman" w:eastAsia="仿宋_GB2312" w:cs="Times New Roman"/>
          <w:b/>
          <w:sz w:val="28"/>
          <w:szCs w:val="28"/>
        </w:rPr>
        <w:t>3、相关资料</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（1）《弋阳县国民经济和社会发展第十四个五年规划和二0三五年远景目标纲要》</w:t>
      </w:r>
    </w:p>
    <w:p>
      <w:pPr>
        <w:pStyle w:val="14"/>
        <w:shd w:val="clear" w:color="auto" w:fill="FFFFFF"/>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（2）《弋阳县土地利用总体规划（2006-2020年）》；</w:t>
      </w:r>
    </w:p>
    <w:p>
      <w:pPr>
        <w:pStyle w:val="14"/>
        <w:widowControl/>
        <w:shd w:val="clear" w:color="auto" w:fill="FFFFFF"/>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（3）《弋阳县城市总体规划（2014-2030年）》；</w:t>
      </w:r>
    </w:p>
    <w:p>
      <w:pPr>
        <w:pStyle w:val="14"/>
        <w:widowControl/>
        <w:shd w:val="clear" w:color="auto" w:fill="FFFFFF"/>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（4）弋阳县城镇开发边界划定方案（土规延续版）；</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（5）弋阳县2019-2022年农转用报批数据和土地整治补充耕地数据；</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（6）弋阳县城市周边与全域永久基本农田划定成果；</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（7）弋阳县生态保护红线优化成果（省厅下发）；</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（8）弋阳县2020年度国土调查变更数据；</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（9）弋阳县第三次国土调查遥感影像；</w:t>
      </w:r>
    </w:p>
    <w:p>
      <w:pPr>
        <w:pStyle w:val="14"/>
        <w:spacing w:line="360" w:lineRule="auto"/>
        <w:ind w:left="105" w:leftChars="50" w:firstLine="0" w:firstLineChars="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（10）其他相关标准、技术规范、文字资料、数据等。</w:t>
      </w:r>
    </w:p>
    <w:p>
      <w:pPr>
        <w:tabs>
          <w:tab w:val="center" w:pos="4153"/>
        </w:tabs>
        <w:rPr>
          <w:rFonts w:ascii="Times New Roman" w:hAnsi="Times New Roman" w:cs="Times New Roman"/>
        </w:rPr>
        <w:sectPr>
          <w:footerReference r:id="rId6" w:type="first"/>
          <w:footerReference r:id="rId5" w:type="default"/>
          <w:pgSz w:w="11906" w:h="16838"/>
          <w:pgMar w:top="1440" w:right="1800" w:bottom="1440" w:left="1800" w:header="851" w:footer="992" w:gutter="0"/>
          <w:pgNumType w:start="1"/>
          <w:cols w:space="425" w:num="1"/>
          <w:titlePg/>
          <w:docGrid w:type="lines" w:linePitch="312" w:charSpace="0"/>
        </w:sectPr>
      </w:pPr>
      <w:r>
        <w:rPr>
          <w:rFonts w:ascii="Times New Roman" w:hAnsi="Times New Roman" w:cs="Times New Roman"/>
        </w:rPr>
        <w:tab/>
      </w:r>
    </w:p>
    <w:p>
      <w:pPr>
        <w:pStyle w:val="14"/>
        <w:spacing w:line="360" w:lineRule="auto"/>
        <w:ind w:firstLine="0" w:firstLineChars="0"/>
        <w:outlineLvl w:val="0"/>
        <w:rPr>
          <w:rFonts w:ascii="Times New Roman" w:hAnsi="Times New Roman" w:eastAsia="黑体" w:cs="Times New Roman"/>
          <w:sz w:val="28"/>
          <w:szCs w:val="28"/>
        </w:rPr>
      </w:pPr>
      <w:bookmarkStart w:id="4" w:name="_Toc74694666"/>
      <w:r>
        <w:rPr>
          <w:rFonts w:ascii="Times New Roman" w:hAnsi="Times New Roman" w:eastAsia="黑体" w:cs="Times New Roman"/>
          <w:sz w:val="28"/>
          <w:szCs w:val="28"/>
        </w:rPr>
        <w:t>二、成片开发区域基本情况</w:t>
      </w:r>
      <w:bookmarkEnd w:id="4"/>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mc:AlternateContent>
          <mc:Choice Requires="wps">
            <w:drawing>
              <wp:anchor distT="0" distB="0" distL="114300" distR="114300" simplePos="0" relativeHeight="251659264" behindDoc="0" locked="0" layoutInCell="1" allowOverlap="1">
                <wp:simplePos x="0" y="0"/>
                <wp:positionH relativeFrom="column">
                  <wp:posOffset>6622415</wp:posOffset>
                </wp:positionH>
                <wp:positionV relativeFrom="paragraph">
                  <wp:posOffset>814070</wp:posOffset>
                </wp:positionV>
                <wp:extent cx="635" cy="635"/>
                <wp:effectExtent l="38100" t="38100" r="57150" b="57150"/>
                <wp:wrapNone/>
                <wp:docPr id="3" name="墨迹 3"/>
                <wp:cNvGraphicFramePr/>
                <a:graphic xmlns:a="http://schemas.openxmlformats.org/drawingml/2006/main">
                  <a:graphicData uri="http://schemas.microsoft.com/office/word/2010/wordprocessingInk">
                    <mc:AlternateContent xmlns:a14="http://schemas.microsoft.com/office/drawing/2010/main">
                      <mc:Choice Requires="a14">
                        <w14:contentPart bwMode="auto" r:id="rId8">
                          <w14:nvContentPartPr>
                            <w14:cNvPr id="3" name="墨迹 3"/>
                            <w14:cNvContentPartPr/>
                          </w14:nvContentPartPr>
                          <w14:xfrm>
                            <a:off x="0" y="0"/>
                            <a:ext cx="360" cy="360"/>
                          </w14:xfrm>
                        </w14:contentPart>
                      </mc:Choice>
                    </mc:AlternateContent>
                  </a:graphicData>
                </a:graphic>
              </wp:anchor>
            </w:drawing>
          </mc:Choice>
          <mc:Fallback>
            <w:pict>
              <v:shape id="_x0000_s1026" o:spid="_x0000_s1026" o:spt="75" style="position:absolute;left:0pt;margin-left:521.45pt;margin-top:64.1pt;height:0.05pt;width:0.05pt;z-index:251659264;mso-width-relative:page;mso-height-relative:page;" coordsize="21600,21600" o:gfxdata="UEsDBAoAAAAAAIdO4kAAAAAAAAAAAAAAAAAEAAAAZHJzL1BLAwQUAAAACACHTuJAgQdXbtsAAAAN&#10;AQAADwAAAGRycy9kb3ducmV2LnhtbE2PT0sDMRDF74LfIYzgzSbdLtKumy0itAcRilUEb+lmTBbz&#10;Z9mk7eqn77QXvc2bebz5vXo5escOOKQuBgnTiQCGoY26C0bC+9vqbg4sZRW0cjGghB9MsGyur2pV&#10;6XgMr3jYZsMoJKRKSbA59xXnqbXoVZrEHgPdvuLgVSY5GK4HdaRw73ghxD33qgv0waoenyy239u9&#10;l/BiPheb32H8WCsrHsu1cZvVs5Py9mYqHoBlHPOfGc74hA4NMe3iPujEHGlRFgvy0lTMC2Bniyhn&#10;1G93Wc2ANzX/36I5AVBLAwQUAAAACACHTuJAMTSYR4EBAABrAwAADgAAAGRycy9lMm9Eb2MueG1s&#10;rVNLTsMwEN0jcQfLe5q0RRWKmnZBhdQFpQs4gHHsxiL2RGO3aa/Diiuw4jRIHINJ+i9CqhAby56x&#10;37xP0h8ubcEWCr0Bl/J2K+ZMOQmZcbOUPz3eXd1w5oNwmSjAqZSvlOfDweVFvyoT1YEcikwhIxDn&#10;k6pMeR5CmUSRl7mywregVI6aGtCKQEecRRmKitBtEXXiuBdVgFmJIJX3VB2tm3yDiOcAgtZGqhHI&#10;uVUurFFRFSKQJJ+b0vNBw1ZrJcOD1l4FVqSclIZmpSG0f67XaNAXyQxFmRu5oSDOoXCiyQrjaOgO&#10;aiSCYHM0P6CskQgedGhJsNFaSOMIqWjHJ96M3UutpH0t55hIcIHUTgWGrftN4y8jbEHyq3vIKF8x&#10;D/DP7jNMTJZyHGftPX+3uN0rmOJe12QxRVbf73LmhCVKn69vXx/vrFuns1U/OX5OnWjT+g14qdHW&#10;kZDJbNkkvtolrpaBSSp2e/QhSKrXmwPM9dvthAPraexRyIfnmtLBPzL4BlBLAwQKAAAAAACHTuJA&#10;AAAAAAAAAAAAAAAACAAAAGRycy9pbmsvUEsDBBQAAAAIAIdO4kCS9vTtugEAAHcEAAAQAAAAZHJz&#10;L2luay9pbmsxLnhtbK1TTU+EMBC9m/gfmnrwIksB11Ui620TE02MH4keEcalkbabtiy7/96hsN01&#10;4sUYEijTzpt5b16vbzaiJmvQhiuZ0WjCKAFZqJLLZUZfnhfBJSXG5rLMayUho1sw9GZ+fHTN5aeo&#10;U3wTRJCmW4k6o5W1qzQM27adtMlE6WUYM5aEt/Lz/o7Oh6wSPrjkFkuaXahQ0sLGdmApLzNa2A3z&#10;5xH7STW6AL/dRXSxP2F1XsBCaZFbj1jlUkJNZC6w71dK7HaFC451lqApEfkmozF+ORIPcNFgSwYr&#10;CxqOY7z9A8ZiHCOJZxcz30IJ666H0Gma/s7tQasVaMthL2NPetjYkqL/d/x7ITQYVTed9pSs87pB&#10;SSLGcOwD/SgcEeAnHmrxr3ioy694h819l2agd6jDIJq3zG6UlgtAI4uV95A1CNyFn6x2do9ZHAfs&#10;IkjYM5ulSZJO44MxDA7d4b3rxlQe613vveh2vGI9q5aXtvKCswmbesEP5R5LrYAvK/u33ELVCq0+&#10;zPkE59yNem8tV88bbeRaOu+RgfojfGT0xN1M4jL7gOMeEUbi8+lsenbK8Akuo6vom4F9FZzM/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AoAAAAAAIdO4kAAAAAAAAAAAAAAAAAKAAAAZHJzL19yZWxzL1BLAwQUAAAACACHTuJAeRi8&#10;nbgAAAAhAQAAGQAAAGRycy9fcmVscy9lMm9Eb2MueG1sLnJlbHOFz7FqxDAMBuC90Hcw2hslHcpR&#10;4mQ5DrKWFG41jpKYxLKxnNJ7+3rswcENGoTQ90tt/+t39UNJXGANTVWDIrZhcrxo+B4vbydQkg1P&#10;Zg9MGm4k0HevL+0X7SaXJVldFFUUFg1rzvETUexK3kgVInGZzCF5k0ubFozGbmYhfK/rD0z/Deju&#10;TDVMGtIwNaDGWyzJz+0wz87SOdjDE+cHEWgPycFf/V5QkxbKGhxvWKqpyqGAXYt3j3V/UEsDBBQA&#10;AAAIAIdO4kADFSnaBQEAAC0CAAATAAAAW0NvbnRlbnRfVHlwZXNdLnhtbJWRwU7DMBBE70j8g+Ur&#10;Spz2gBBq0gMpR0CofIBlbxKr9trymtD+PU7aXhCl4uCDvTNvRuvVeu8sGyGS8VjzRVlxBqi8NtjX&#10;/GP7XDxwRkmiltYj1PwAxNfN7c1qewhALLuRaj6kFB6FIDWAk1T6AJgnnY9OpnyNvQhS7WQPYllV&#10;90J5TICpSBODN6sWOvlpE9vs8/OxSQRLnD0dhVNWzWUI1iiZclMxov6RUpwSyuycNTSYQHe5Bhe/&#10;JkyTywEn32teTTQa2JuM6UW6XEPoSEL7L4wwln9DppaOCt91RkHZRmqz7R3Gc6tLdFj61qv/wjez&#10;6xrb4E7ks7hCzxJnzywxf3bzDVBLAQIUABQAAAAIAIdO4kADFSnaBQEAAC0CAAATAAAAAAAAAAEA&#10;IAAAABoHAABbQ29udGVudF9UeXBlc10ueG1sUEsBAhQACgAAAAAAh07iQAAAAAAAAAAAAAAAAAYA&#10;AAAAAAAAAAAQAAAA5QQAAF9yZWxzL1BLAQIUABQAAAAIAIdO4kCKFGY80QAAAJQBAAALAAAAAAAA&#10;AAEAIAAAAAkFAABfcmVscy8ucmVsc1BLAQIUAAoAAAAAAIdO4kAAAAAAAAAAAAAAAAAEAAAAAAAA&#10;AAAAEAAAAAAAAABkcnMvUEsBAhQACgAAAAAAh07iQAAAAAAAAAAAAAAAAAoAAAAAAAAAAAAQAAAA&#10;AwYAAGRycy9fcmVscy9QSwECFAAUAAAACACHTuJAeRi8nbgAAAAhAQAAGQAAAAAAAAABACAAAAAr&#10;BgAAZHJzL19yZWxzL2Uyb0RvYy54bWwucmVsc1BLAQIUABQAAAAIAIdO4kCBB1du2wAAAA0BAAAP&#10;AAAAAAAAAAEAIAAAACIAAABkcnMvZG93bnJldi54bWxQSwECFAAUAAAACACHTuJAMTSYR4EBAABr&#10;AwAADgAAAAAAAAABACAAAAAqAQAAZHJzL2Uyb0RvYy54bWxQSwECFAAKAAAAAACHTuJAAAAAAAAA&#10;AAAAAAAACAAAAAAAAAAAABAAAADXAgAAZHJzL2luay9QSwECFAAUAAAACACHTuJAkvb07boBAAB3&#10;BAAAEAAAAAAAAAABACAAAAD9AgAAZHJzL2luay9pbmsxLnhtbFBLBQYAAAAACgAKAEwCAABQCAAA&#10;AAA=&#10;">
                <v:imagedata r:id="rId9" o:title=""/>
                <o:lock v:ext="edit"/>
              </v:shape>
            </w:pict>
          </mc:Fallback>
        </mc:AlternateContent>
      </w:r>
      <w:r>
        <w:rPr>
          <w:rFonts w:ascii="Times New Roman" w:hAnsi="Times New Roman" w:eastAsia="仿宋_GB2312" w:cs="Times New Roman"/>
          <w:color w:val="333333"/>
          <w:kern w:val="0"/>
          <w:sz w:val="28"/>
          <w:szCs w:val="28"/>
        </w:rPr>
        <w:t>本次成片开发方案范围为5个片区，涉及弋阳县中心城区、高新技术产业园、新材料产业园、重钙产业园、曹溪镇，用地总规模为143.7279公顷，约2155.92亩（成片开发范围以最终批复为准）。根据2020年度国土调查数据分析，农用地占96.89公顷（其中耕地24.98公顷，园地1.34公顷，林地58.10公顷，草地2.58公顷，交通运输用地3.64公顷，水域及水利设施用地5.10公顷，其他土地1.15）；建设用地占46.83公顷。</w:t>
      </w:r>
    </w:p>
    <w:p>
      <w:pPr>
        <w:jc w:val="center"/>
        <w:rPr>
          <w:rFonts w:ascii="Times New Roman" w:hAnsi="Times New Roman" w:eastAsia="仿宋_GB2312" w:cs="Times New Roman"/>
          <w:b/>
          <w:color w:val="333333"/>
          <w:kern w:val="0"/>
          <w:sz w:val="28"/>
          <w:szCs w:val="28"/>
        </w:rPr>
      </w:pPr>
      <w:r>
        <w:rPr>
          <w:rFonts w:ascii="Times New Roman" w:hAnsi="Times New Roman" w:eastAsia="仿宋_GB2312" w:cs="Times New Roman"/>
          <w:b/>
          <w:color w:val="333333"/>
          <w:kern w:val="0"/>
          <w:sz w:val="28"/>
          <w:szCs w:val="28"/>
        </w:rPr>
        <w:t>成片开发范围内国土调查现状地类统计表</w:t>
      </w:r>
    </w:p>
    <w:p>
      <w:pPr>
        <w:jc w:val="right"/>
        <w:rPr>
          <w:rFonts w:ascii="Times New Roman" w:hAnsi="Times New Roman" w:eastAsia="仿宋_GB2312" w:cs="Times New Roman"/>
          <w:color w:val="333333"/>
          <w:kern w:val="0"/>
          <w:sz w:val="24"/>
          <w:szCs w:val="24"/>
        </w:rPr>
      </w:pPr>
      <w:r>
        <w:rPr>
          <w:rFonts w:ascii="Times New Roman" w:hAnsi="Times New Roman" w:eastAsia="仿宋_GB2312" w:cs="Times New Roman"/>
          <w:color w:val="333333"/>
          <w:kern w:val="0"/>
          <w:sz w:val="24"/>
          <w:szCs w:val="24"/>
        </w:rPr>
        <w:t>单位：公顷</w:t>
      </w:r>
    </w:p>
    <w:tbl>
      <w:tblPr>
        <w:tblStyle w:val="10"/>
        <w:tblW w:w="8599" w:type="dxa"/>
        <w:jc w:val="center"/>
        <w:tblLayout w:type="autofit"/>
        <w:tblCellMar>
          <w:top w:w="0" w:type="dxa"/>
          <w:left w:w="108" w:type="dxa"/>
          <w:bottom w:w="0" w:type="dxa"/>
          <w:right w:w="108" w:type="dxa"/>
        </w:tblCellMar>
      </w:tblPr>
      <w:tblGrid>
        <w:gridCol w:w="1176"/>
        <w:gridCol w:w="3096"/>
        <w:gridCol w:w="3216"/>
        <w:gridCol w:w="1116"/>
      </w:tblGrid>
      <w:tr>
        <w:tblPrEx>
          <w:tblCellMar>
            <w:top w:w="0" w:type="dxa"/>
            <w:left w:w="108" w:type="dxa"/>
            <w:bottom w:w="0" w:type="dxa"/>
            <w:right w:w="108" w:type="dxa"/>
          </w:tblCellMar>
        </w:tblPrEx>
        <w:trPr>
          <w:trHeight w:val="51" w:hRule="atLeast"/>
          <w:jc w:val="center"/>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大类</w:t>
            </w:r>
          </w:p>
        </w:tc>
        <w:tc>
          <w:tcPr>
            <w:tcW w:w="0" w:type="auto"/>
            <w:gridSpan w:val="2"/>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国土调查地类</w:t>
            </w:r>
          </w:p>
        </w:tc>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面积</w:t>
            </w:r>
          </w:p>
        </w:tc>
      </w:tr>
      <w:tr>
        <w:tblPrEx>
          <w:tblCellMar>
            <w:top w:w="0" w:type="dxa"/>
            <w:left w:w="108" w:type="dxa"/>
            <w:bottom w:w="0" w:type="dxa"/>
            <w:right w:w="108" w:type="dxa"/>
          </w:tblCellMar>
        </w:tblPrEx>
        <w:trPr>
          <w:trHeight w:val="51"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一级分类</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二级分类</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r>
      <w:tr>
        <w:tblPrEx>
          <w:tblCellMar>
            <w:top w:w="0" w:type="dxa"/>
            <w:left w:w="108" w:type="dxa"/>
            <w:bottom w:w="0" w:type="dxa"/>
            <w:right w:w="108" w:type="dxa"/>
          </w:tblCellMar>
        </w:tblPrEx>
        <w:trPr>
          <w:trHeight w:val="51" w:hRule="atLeast"/>
          <w:jc w:val="center"/>
        </w:trPr>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农用地</w:t>
            </w: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耕地（01）</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水田（0101）</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15.2914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旱地（0103）</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9.6841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园地（02）</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果园（0201）</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0.1501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其他园地（0204）</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1.1938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林地（03）</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乔木林地（0301）</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20.6661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竹林地（0302）</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12.7941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灌木林地（0305）</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0.0934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其他林地（0307）</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24.5477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草地（04）</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其他草地（0404）</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2.5811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交通运输用地（10）</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农村道路（1006）</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1.5523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公路用地（1003）</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2.0920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水域及水利设施用地（11）</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河流水面（1101）</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0.0199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水库水面（1103）</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3.7285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坑塘水面（1104）</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0.4542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沟渠（1107）</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0.8963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其他土地（12）</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设施农用地（1202）</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0.7568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田坎（1203）</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0.3927 </w:t>
            </w:r>
          </w:p>
        </w:tc>
      </w:tr>
      <w:tr>
        <w:tblPrEx>
          <w:tblCellMar>
            <w:top w:w="0" w:type="dxa"/>
            <w:left w:w="108" w:type="dxa"/>
            <w:bottom w:w="0" w:type="dxa"/>
            <w:right w:w="108" w:type="dxa"/>
          </w:tblCellMar>
        </w:tblPrEx>
        <w:trPr>
          <w:trHeight w:val="51" w:hRule="atLeast"/>
          <w:jc w:val="center"/>
        </w:trPr>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建设用地</w:t>
            </w: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城镇村及工矿用地（20）</w:t>
            </w: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建制镇（202）</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2.8339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村庄（203）</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11.3993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采矿用地（204）</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31.3075 </w:t>
            </w:r>
          </w:p>
        </w:tc>
      </w:tr>
      <w:tr>
        <w:tblPrEx>
          <w:tblCellMar>
            <w:top w:w="0" w:type="dxa"/>
            <w:left w:w="108" w:type="dxa"/>
            <w:bottom w:w="0" w:type="dxa"/>
            <w:right w:w="108" w:type="dxa"/>
          </w:tblCellMar>
        </w:tblPrEx>
        <w:trPr>
          <w:trHeight w:val="51"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风景名胜及特殊用地（205）</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 xml:space="preserve">1.2929 </w:t>
            </w:r>
          </w:p>
        </w:tc>
      </w:tr>
      <w:tr>
        <w:tblPrEx>
          <w:tblCellMar>
            <w:top w:w="0" w:type="dxa"/>
            <w:left w:w="108" w:type="dxa"/>
            <w:bottom w:w="0" w:type="dxa"/>
            <w:right w:w="108" w:type="dxa"/>
          </w:tblCellMar>
        </w:tblPrEx>
        <w:trPr>
          <w:trHeight w:val="51" w:hRule="atLeast"/>
          <w:jc w:val="center"/>
        </w:trPr>
        <w:tc>
          <w:tcPr>
            <w:tcW w:w="0" w:type="auto"/>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汇总</w:t>
            </w: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color w:val="000000"/>
                <w:kern w:val="0"/>
                <w:sz w:val="24"/>
                <w:szCs w:val="24"/>
              </w:rPr>
            </w:pPr>
            <w:r>
              <w:rPr>
                <w:rFonts w:ascii="Times New Roman" w:hAnsi="Times New Roman" w:eastAsia="仿宋_GB2312" w:cs="Times New Roman"/>
                <w:color w:val="000000"/>
                <w:kern w:val="0"/>
                <w:sz w:val="24"/>
                <w:szCs w:val="24"/>
              </w:rPr>
              <w:t xml:space="preserve">143.7279 </w:t>
            </w:r>
          </w:p>
        </w:tc>
      </w:tr>
    </w:tbl>
    <w:p>
      <w:pPr>
        <w:rPr>
          <w:rFonts w:ascii="Times New Roman" w:hAnsi="Times New Roman" w:eastAsia="仿宋_GB2312" w:cs="Times New Roman"/>
          <w:color w:val="333333"/>
          <w:kern w:val="0"/>
          <w:sz w:val="30"/>
          <w:szCs w:val="30"/>
        </w:rPr>
        <w:sectPr>
          <w:pgSz w:w="11906" w:h="16838"/>
          <w:pgMar w:top="1440" w:right="1797" w:bottom="1440" w:left="1797" w:header="851" w:footer="992" w:gutter="0"/>
          <w:cols w:space="425" w:num="1"/>
          <w:docGrid w:type="lines" w:linePitch="312" w:charSpace="0"/>
        </w:sectPr>
      </w:pPr>
    </w:p>
    <w:p>
      <w:pPr>
        <w:spacing w:line="360" w:lineRule="auto"/>
        <w:outlineLvl w:val="0"/>
        <w:rPr>
          <w:rFonts w:ascii="Times New Roman" w:hAnsi="Times New Roman" w:eastAsia="黑体" w:cs="Times New Roman"/>
          <w:sz w:val="28"/>
          <w:szCs w:val="28"/>
        </w:rPr>
      </w:pPr>
      <w:bookmarkStart w:id="5" w:name="_Toc74694667"/>
      <w:r>
        <w:rPr>
          <w:rFonts w:ascii="Times New Roman" w:hAnsi="Times New Roman" w:eastAsia="黑体" w:cs="Times New Roman"/>
          <w:sz w:val="28"/>
          <w:szCs w:val="28"/>
        </w:rPr>
        <w:t>三、成片开发范围内年度实施计划及拟征地情况</w:t>
      </w:r>
      <w:bookmarkEnd w:id="5"/>
    </w:p>
    <w:p>
      <w:pPr>
        <w:spacing w:before="156" w:beforeLines="50" w:after="156" w:afterLines="50"/>
        <w:jc w:val="center"/>
        <w:rPr>
          <w:rFonts w:ascii="Times New Roman" w:hAnsi="Times New Roman" w:eastAsia="仿宋_GB2312" w:cs="Times New Roman"/>
          <w:b/>
          <w:sz w:val="28"/>
          <w:szCs w:val="28"/>
        </w:rPr>
      </w:pPr>
      <w:r>
        <w:rPr>
          <w:rFonts w:ascii="Times New Roman" w:hAnsi="Times New Roman" w:eastAsia="仿宋_GB2312" w:cs="Times New Roman"/>
          <w:b/>
          <w:sz w:val="28"/>
          <w:szCs w:val="28"/>
        </w:rPr>
        <w:t>成片开发范围内年度实施计划及拟征地情况表</w:t>
      </w:r>
    </w:p>
    <w:p>
      <w:pPr>
        <w:spacing w:before="156" w:beforeLines="50" w:after="156" w:afterLines="50"/>
        <w:jc w:val="right"/>
        <w:rPr>
          <w:rFonts w:ascii="Times New Roman" w:hAnsi="Times New Roman" w:eastAsia="仿宋_GB2312" w:cs="Times New Roman"/>
          <w:sz w:val="24"/>
          <w:szCs w:val="24"/>
        </w:rPr>
      </w:pPr>
      <w:r>
        <w:rPr>
          <w:rFonts w:ascii="Times New Roman" w:hAnsi="Times New Roman" w:eastAsia="仿宋_GB2312" w:cs="Times New Roman"/>
          <w:sz w:val="24"/>
          <w:szCs w:val="24"/>
        </w:rPr>
        <w:t>单位：公顷（0.00）</w:t>
      </w:r>
    </w:p>
    <w:tbl>
      <w:tblPr>
        <w:tblStyle w:val="10"/>
        <w:tblW w:w="5319" w:type="pct"/>
        <w:jc w:val="center"/>
        <w:tblLayout w:type="autofit"/>
        <w:tblCellMar>
          <w:top w:w="0" w:type="dxa"/>
          <w:left w:w="108" w:type="dxa"/>
          <w:bottom w:w="0" w:type="dxa"/>
          <w:right w:w="108" w:type="dxa"/>
        </w:tblCellMar>
      </w:tblPr>
      <w:tblGrid>
        <w:gridCol w:w="4478"/>
        <w:gridCol w:w="1232"/>
        <w:gridCol w:w="1040"/>
        <w:gridCol w:w="1090"/>
        <w:gridCol w:w="1232"/>
      </w:tblGrid>
      <w:tr>
        <w:tblPrEx>
          <w:tblCellMar>
            <w:top w:w="0" w:type="dxa"/>
            <w:left w:w="108" w:type="dxa"/>
            <w:bottom w:w="0" w:type="dxa"/>
            <w:right w:w="108" w:type="dxa"/>
          </w:tblCellMar>
        </w:tblPrEx>
        <w:trPr>
          <w:trHeight w:val="523" w:hRule="atLeast"/>
          <w:jc w:val="center"/>
        </w:trPr>
        <w:tc>
          <w:tcPr>
            <w:tcW w:w="2468" w:type="pct"/>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涉及乡镇</w:t>
            </w:r>
          </w:p>
        </w:tc>
        <w:tc>
          <w:tcPr>
            <w:tcW w:w="1252" w:type="pct"/>
            <w:gridSpan w:val="2"/>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实施年度</w:t>
            </w:r>
          </w:p>
        </w:tc>
        <w:tc>
          <w:tcPr>
            <w:tcW w:w="60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拟征地土地面积</w:t>
            </w:r>
          </w:p>
        </w:tc>
        <w:tc>
          <w:tcPr>
            <w:tcW w:w="67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成片开发规模合计</w:t>
            </w:r>
          </w:p>
        </w:tc>
      </w:tr>
      <w:tr>
        <w:tblPrEx>
          <w:tblCellMar>
            <w:top w:w="0" w:type="dxa"/>
            <w:left w:w="108" w:type="dxa"/>
            <w:bottom w:w="0" w:type="dxa"/>
            <w:right w:w="108" w:type="dxa"/>
          </w:tblCellMar>
        </w:tblPrEx>
        <w:trPr>
          <w:trHeight w:val="523" w:hRule="atLeast"/>
          <w:jc w:val="center"/>
        </w:trPr>
        <w:tc>
          <w:tcPr>
            <w:tcW w:w="2468" w:type="pct"/>
            <w:vMerge w:val="continue"/>
            <w:tcBorders>
              <w:top w:val="single" w:color="auto" w:sz="4" w:space="0"/>
              <w:left w:val="single" w:color="auto" w:sz="4" w:space="0"/>
              <w:bottom w:val="single" w:color="000000" w:sz="4" w:space="0"/>
              <w:right w:val="single" w:color="auto" w:sz="4" w:space="0"/>
            </w:tcBorders>
            <w:vAlign w:val="center"/>
          </w:tcPr>
          <w:p>
            <w:pPr>
              <w:widowControl/>
              <w:jc w:val="center"/>
              <w:rPr>
                <w:rFonts w:ascii="Times New Roman" w:hAnsi="Times New Roman" w:eastAsia="仿宋_GB2312" w:cs="Times New Roman"/>
                <w:sz w:val="24"/>
                <w:szCs w:val="24"/>
              </w:rPr>
            </w:pPr>
          </w:p>
        </w:tc>
        <w:tc>
          <w:tcPr>
            <w:tcW w:w="679" w:type="pct"/>
            <w:tcBorders>
              <w:top w:val="nil"/>
              <w:left w:val="nil"/>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2022年</w:t>
            </w:r>
          </w:p>
        </w:tc>
        <w:tc>
          <w:tcPr>
            <w:tcW w:w="572" w:type="pct"/>
            <w:tcBorders>
              <w:top w:val="nil"/>
              <w:left w:val="nil"/>
              <w:right w:val="single" w:color="auto" w:sz="4" w:space="0"/>
            </w:tcBorders>
            <w:shd w:val="clear" w:color="auto" w:fill="auto"/>
            <w:vAlign w:val="center"/>
          </w:tcPr>
          <w:p>
            <w:pPr>
              <w:rPr>
                <w:rFonts w:ascii="Times New Roman" w:hAnsi="Times New Roman" w:eastAsia="仿宋_GB2312" w:cs="Times New Roman"/>
                <w:sz w:val="24"/>
                <w:szCs w:val="24"/>
              </w:rPr>
            </w:pPr>
            <w:r>
              <w:rPr>
                <w:rFonts w:ascii="Times New Roman" w:hAnsi="Times New Roman" w:eastAsia="仿宋_GB2312" w:cs="Times New Roman"/>
                <w:sz w:val="24"/>
                <w:szCs w:val="24"/>
              </w:rPr>
              <w:t>2023年</w:t>
            </w:r>
          </w:p>
        </w:tc>
        <w:tc>
          <w:tcPr>
            <w:tcW w:w="601"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sz w:val="24"/>
                <w:szCs w:val="24"/>
                <w:highlight w:val="yellow"/>
              </w:rPr>
            </w:pPr>
          </w:p>
        </w:tc>
        <w:tc>
          <w:tcPr>
            <w:tcW w:w="679"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sz w:val="24"/>
                <w:szCs w:val="24"/>
                <w:highlight w:val="yellow"/>
              </w:rPr>
            </w:pPr>
          </w:p>
        </w:tc>
      </w:tr>
      <w:tr>
        <w:tblPrEx>
          <w:tblCellMar>
            <w:top w:w="0" w:type="dxa"/>
            <w:left w:w="108" w:type="dxa"/>
            <w:bottom w:w="0" w:type="dxa"/>
            <w:right w:w="108" w:type="dxa"/>
          </w:tblCellMar>
        </w:tblPrEx>
        <w:trPr>
          <w:trHeight w:val="523" w:hRule="atLeast"/>
          <w:jc w:val="center"/>
        </w:trPr>
        <w:tc>
          <w:tcPr>
            <w:tcW w:w="246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南岩镇、三县岭综合垦殖场、曹溪镇</w:t>
            </w:r>
          </w:p>
        </w:tc>
        <w:tc>
          <w:tcPr>
            <w:tcW w:w="679" w:type="pct"/>
            <w:tcBorders>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85.26</w:t>
            </w:r>
          </w:p>
        </w:tc>
        <w:tc>
          <w:tcPr>
            <w:tcW w:w="572" w:type="pct"/>
            <w:tcBorders>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58.47</w:t>
            </w:r>
          </w:p>
        </w:tc>
        <w:tc>
          <w:tcPr>
            <w:tcW w:w="601"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highlight w:val="yellow"/>
              </w:rPr>
            </w:pPr>
            <w:r>
              <w:rPr>
                <w:rFonts w:ascii="Times New Roman" w:hAnsi="Times New Roman" w:eastAsia="仿宋_GB2312" w:cs="Times New Roman"/>
                <w:sz w:val="24"/>
                <w:szCs w:val="24"/>
              </w:rPr>
              <w:t>94.12</w:t>
            </w:r>
          </w:p>
        </w:tc>
        <w:tc>
          <w:tcPr>
            <w:tcW w:w="679"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sz w:val="24"/>
                <w:szCs w:val="24"/>
              </w:rPr>
            </w:pPr>
            <w:r>
              <w:rPr>
                <w:rFonts w:ascii="Times New Roman" w:hAnsi="Times New Roman" w:eastAsia="宋体" w:cs="Times New Roman"/>
                <w:color w:val="000000"/>
                <w:kern w:val="0"/>
                <w:sz w:val="24"/>
                <w:szCs w:val="24"/>
              </w:rPr>
              <w:t>143.73</w:t>
            </w:r>
          </w:p>
        </w:tc>
      </w:tr>
    </w:tbl>
    <w:p>
      <w:pPr>
        <w:rPr>
          <w:rFonts w:ascii="Times New Roman" w:hAnsi="Times New Roman" w:eastAsia="仿宋_GB2312" w:cs="Times New Roman"/>
          <w:b/>
          <w:sz w:val="24"/>
          <w:szCs w:val="24"/>
        </w:rPr>
      </w:pPr>
      <w:r>
        <w:rPr>
          <w:rFonts w:ascii="Times New Roman" w:hAnsi="Times New Roman" w:eastAsia="仿宋_GB2312" w:cs="Times New Roman"/>
          <w:b/>
          <w:sz w:val="24"/>
          <w:szCs w:val="24"/>
        </w:rPr>
        <w:t>（征收面积以实际为准）</w:t>
      </w:r>
    </w:p>
    <w:p>
      <w:pPr>
        <w:spacing w:line="360" w:lineRule="auto"/>
        <w:outlineLvl w:val="0"/>
        <w:rPr>
          <w:rFonts w:ascii="Times New Roman" w:hAnsi="Times New Roman" w:eastAsia="黑体" w:cs="Times New Roman"/>
          <w:sz w:val="28"/>
          <w:szCs w:val="28"/>
        </w:rPr>
      </w:pPr>
      <w:bookmarkStart w:id="6" w:name="_Toc74694668"/>
      <w:r>
        <w:rPr>
          <w:rFonts w:ascii="Times New Roman" w:hAnsi="Times New Roman" w:eastAsia="黑体" w:cs="Times New Roman"/>
          <w:sz w:val="28"/>
          <w:szCs w:val="28"/>
        </w:rPr>
        <w:t>四、成片开发必要性、主要用途和实现的功能</w:t>
      </w:r>
      <w:bookmarkEnd w:id="6"/>
    </w:p>
    <w:p>
      <w:pPr>
        <w:spacing w:line="360" w:lineRule="auto"/>
        <w:ind w:left="210" w:leftChars="100"/>
        <w:outlineLvl w:val="1"/>
        <w:rPr>
          <w:rFonts w:ascii="Times New Roman" w:hAnsi="Times New Roman" w:eastAsia="黑体" w:cs="Times New Roman"/>
          <w:sz w:val="28"/>
          <w:szCs w:val="28"/>
        </w:rPr>
      </w:pPr>
      <w:bookmarkStart w:id="7" w:name="_Toc74694669"/>
      <w:r>
        <w:rPr>
          <w:rFonts w:ascii="Times New Roman" w:hAnsi="Times New Roman" w:eastAsia="黑体" w:cs="Times New Roman"/>
          <w:sz w:val="28"/>
          <w:szCs w:val="28"/>
        </w:rPr>
        <w:t>（一）成片开发必要性</w:t>
      </w:r>
      <w:bookmarkEnd w:id="7"/>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成片开发有利于拓展发展空间，发挥规模效益，实现土地节约集约利用。按照“规划超前，分步实施，逐年到位，梯度推进”的发展思路，统筹实施自身各个4功能区块、产业分布、基础设施建设等内容，合理划分城区功能分区，在已完成城区分区规划、土地利用规划、中心地段控制性详细规划等工作的基础上，进一步完善区域空间布局，努力形成“总规管总、详规管块、专规管线”的区域建设规划体系。通过成片开发主要片区的规划，大幅提升弋阳县城区与周边地区的交通便捷性，实现城乡基础建设新跨越。</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成片开发有利于围绕人口集聚，优化发展环境，大力实施“宜居宜业”工程。通过成片开发科学有序规划产业发展和房地产开发，吸引外来人口就业和入驻，加快形成城区人口聚集，为产业聚集、城市发展提供基本的人口规模。在开发建设的同时坚持以人民为中心的发展思想，主动顺应群众期盼，加快配套的教育、医疗、道路、公交枢纽等公共项目建设，为人口集聚提供良好的城市功能和人居环境。</w:t>
      </w:r>
    </w:p>
    <w:p>
      <w:pPr>
        <w:spacing w:line="360" w:lineRule="auto"/>
        <w:outlineLvl w:val="1"/>
        <w:rPr>
          <w:rFonts w:ascii="Times New Roman" w:hAnsi="Times New Roman" w:eastAsia="黑体" w:cs="Times New Roman"/>
          <w:sz w:val="28"/>
          <w:szCs w:val="28"/>
        </w:rPr>
      </w:pPr>
      <w:bookmarkStart w:id="8" w:name="_Toc74694670"/>
      <w:r>
        <w:rPr>
          <w:rFonts w:ascii="Times New Roman" w:hAnsi="Times New Roman" w:eastAsia="黑体" w:cs="Times New Roman"/>
          <w:sz w:val="28"/>
          <w:szCs w:val="28"/>
        </w:rPr>
        <w:t>（二）成片开发可实现功能</w:t>
      </w:r>
      <w:bookmarkEnd w:id="8"/>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土地征收成片开发可实现的功能有：解决城市新增人口及原有人口的居住需求和改善型需求，提高生活质量；优化产业布局、促进经济增长，带动二、三产业集聚发展，提升产业发展的整体性和合理性，促进经济高质量发展；提升城镇风貌、优化城市布局，有利于提升城镇功能品质，实现城镇高质量发展，优化人居环境、人文环境。</w:t>
      </w:r>
    </w:p>
    <w:p>
      <w:pPr>
        <w:spacing w:line="360" w:lineRule="auto"/>
        <w:outlineLvl w:val="0"/>
        <w:rPr>
          <w:rFonts w:ascii="Times New Roman" w:hAnsi="Times New Roman" w:eastAsia="黑体" w:cs="Times New Roman"/>
          <w:sz w:val="28"/>
          <w:szCs w:val="28"/>
        </w:rPr>
      </w:pPr>
      <w:bookmarkStart w:id="9" w:name="_Toc74694671"/>
      <w:r>
        <w:rPr>
          <w:rFonts w:ascii="Times New Roman" w:hAnsi="Times New Roman" w:eastAsia="黑体" w:cs="Times New Roman"/>
          <w:sz w:val="28"/>
          <w:szCs w:val="28"/>
        </w:rPr>
        <w:t>五、土地用途分析</w:t>
      </w:r>
      <w:bookmarkEnd w:id="9"/>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本次成片开发范围位于南岩镇、三县岭综合垦殖场、曹溪镇，主要功能以产业发展、公服设施、道路建设及相关配套设施内容为主。</w:t>
      </w:r>
    </w:p>
    <w:p>
      <w:pPr>
        <w:spacing w:line="360" w:lineRule="auto"/>
        <w:outlineLvl w:val="0"/>
        <w:rPr>
          <w:rFonts w:ascii="Times New Roman" w:hAnsi="Times New Roman" w:eastAsia="黑体" w:cs="Times New Roman"/>
          <w:sz w:val="28"/>
          <w:szCs w:val="28"/>
        </w:rPr>
      </w:pPr>
      <w:bookmarkStart w:id="10" w:name="_Toc74694672"/>
      <w:r>
        <w:rPr>
          <w:rFonts w:ascii="Times New Roman" w:hAnsi="Times New Roman" w:eastAsia="黑体" w:cs="Times New Roman"/>
          <w:sz w:val="28"/>
          <w:szCs w:val="28"/>
        </w:rPr>
        <w:t>六、规划符合性分析</w:t>
      </w:r>
      <w:bookmarkEnd w:id="10"/>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本次成片开发项目，立足于“十四五”规划构建的城市区域空间规划布局，成片开发区域的布局符合规划，有利于完成规划目标，缩短完成任务的时间，优化城市布局。</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本方案符合国民经济和社会发展规划的发展定位、要求，有利于完成规划目标、任务，已纳入国民经济和社会发展年度计划。在项目选址和确定用地布局的过程中与弋阳县生态保护红线优化成果（省厅下发）、弋阳县城市周边与全域永久基本农田划定成果、弋阳县城镇开发边界划定方案、《弋阳县土地利用总体规划（2006-2020年）》等相关资料做了充分对接，通过比对分析，本次各项基础设施及产业发展项目等用地红线均不涉及占用弋阳县生态保护红线、自然保护地、永久基本农田保护红线、历史文化保护线，且本次成片开发项目均位于城镇开发边界的集中建设区内。</w:t>
      </w:r>
    </w:p>
    <w:p>
      <w:pPr>
        <w:spacing w:line="360" w:lineRule="auto"/>
        <w:outlineLvl w:val="0"/>
        <w:rPr>
          <w:rFonts w:ascii="Times New Roman" w:hAnsi="Times New Roman" w:eastAsia="黑体" w:cs="Times New Roman"/>
          <w:sz w:val="28"/>
          <w:szCs w:val="28"/>
        </w:rPr>
      </w:pPr>
      <w:bookmarkStart w:id="11" w:name="_Toc74694673"/>
      <w:r>
        <w:rPr>
          <w:rFonts w:ascii="Times New Roman" w:hAnsi="Times New Roman" w:eastAsia="黑体" w:cs="Times New Roman"/>
          <w:sz w:val="28"/>
          <w:szCs w:val="28"/>
        </w:rPr>
        <w:t>七、成片开发公益性用地</w:t>
      </w:r>
      <w:bookmarkEnd w:id="11"/>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国土空间规划要求一个完整的土地征收成片开发范围内的基础设施、公共服务设施以及其他公益性用地不得低于40%。按照土地管理法第四十五条的公益性用地分类，城镇社区服务设施用途、公共管理与公共服务用途、绿地与开敞空间用途、交通运输用途属于公益性用地</w:t>
      </w:r>
      <w:r>
        <w:rPr>
          <w:rFonts w:ascii="Times New Roman" w:hAnsi="Times New Roman" w:cs="Times New Roman"/>
          <w:sz w:val="28"/>
          <w:szCs w:val="28"/>
        </w:rPr>
        <w:t>，</w:t>
      </w:r>
      <w:r>
        <w:rPr>
          <w:rFonts w:ascii="Times New Roman" w:hAnsi="Times New Roman" w:eastAsia="仿宋_GB2312" w:cs="Times New Roman"/>
          <w:color w:val="333333"/>
          <w:kern w:val="0"/>
          <w:sz w:val="28"/>
          <w:szCs w:val="28"/>
        </w:rPr>
        <w:t>公益性用地比例计算采用成片开发范围内的公益性用地规模，除以成片开发范围总规模，得到公益性用地比例。本次成片开发范围包含的片区公益性用地比例超过了40%，达到了省自然资源厅对公益性用地比例不低于40%的要求。</w:t>
      </w:r>
    </w:p>
    <w:p>
      <w:pPr>
        <w:pStyle w:val="14"/>
        <w:spacing w:line="360" w:lineRule="auto"/>
        <w:ind w:left="570" w:firstLine="0" w:firstLineChars="0"/>
        <w:outlineLvl w:val="0"/>
        <w:rPr>
          <w:rFonts w:ascii="Times New Roman" w:hAnsi="Times New Roman" w:eastAsia="黑体" w:cs="Times New Roman"/>
          <w:sz w:val="28"/>
          <w:szCs w:val="28"/>
        </w:rPr>
      </w:pPr>
      <w:bookmarkStart w:id="12" w:name="_Toc74694674"/>
      <w:r>
        <w:rPr>
          <w:rFonts w:ascii="Times New Roman" w:hAnsi="Times New Roman" w:eastAsia="黑体" w:cs="Times New Roman"/>
          <w:sz w:val="28"/>
          <w:szCs w:val="28"/>
        </w:rPr>
        <w:t>八、效益评估</w:t>
      </w:r>
      <w:bookmarkEnd w:id="12"/>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一）土地利用效益：严格落实耕地“占补平衡”制度以及参照土地利用规划划分的用地，通过多家企业机构在空间集聚，公用配套设施建设的集约使用，强化用地合同管理等节约集约用地措施，形成布局集中、产业集聚、用地集约的产业型经济园区。</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（二）经济效益：有利于推动周边地区积极融入产业集聚区、带动弋阳县经济发展，形成优势互补的空间格局，促进产业协同合作，推动弋阳县经济协调可持续发展。</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（三）社会效益：有利于调整产业结构，带动相关产业的发展，为当地提供大量的就业岗位，吸引就近人才就业，保障地区劳动就业，提高就业率，促进弋阳县高质量发展。</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四）生态效益：土地开发建设对生态环境有着重要影响，土地开发建设导致土地利用结构发生变化，将农用地转为非农用地，改变土地利用方式，从而改变地表植被的种类及覆盖程度，本次成片开发规划的生态绿化用地将有效恢复生态绿化功能，改善城镇环境，在减少水域污染、保持水土等方面发挥显著作用，使项目区域生态环境实现良性循环，实现人与自然、经济发展与资源环境协调、可持续发展。</w:t>
      </w:r>
    </w:p>
    <w:p>
      <w:pPr>
        <w:spacing w:line="360" w:lineRule="auto"/>
        <w:outlineLvl w:val="0"/>
        <w:rPr>
          <w:rFonts w:ascii="Times New Roman" w:hAnsi="Times New Roman" w:eastAsia="黑体" w:cs="Times New Roman"/>
          <w:sz w:val="28"/>
          <w:szCs w:val="28"/>
        </w:rPr>
      </w:pPr>
      <w:bookmarkStart w:id="13" w:name="_Toc74694675"/>
      <w:r>
        <w:rPr>
          <w:rFonts w:ascii="Times New Roman" w:hAnsi="Times New Roman" w:eastAsia="黑体" w:cs="Times New Roman"/>
          <w:sz w:val="28"/>
          <w:szCs w:val="28"/>
        </w:rPr>
        <w:t>九、征地安置补偿措施</w:t>
      </w:r>
      <w:bookmarkEnd w:id="13"/>
    </w:p>
    <w:p>
      <w:pPr>
        <w:widowControl/>
        <w:shd w:val="clear" w:color="auto" w:fill="FFFFFF"/>
        <w:spacing w:line="360" w:lineRule="auto"/>
        <w:ind w:firstLine="562" w:firstLineChars="200"/>
        <w:rPr>
          <w:rFonts w:ascii="Times New Roman" w:hAnsi="Times New Roman" w:eastAsia="楷体" w:cs="Times New Roman"/>
          <w:color w:val="333333"/>
          <w:kern w:val="0"/>
          <w:sz w:val="28"/>
          <w:szCs w:val="28"/>
        </w:rPr>
      </w:pPr>
      <w:r>
        <w:rPr>
          <w:rFonts w:ascii="Times New Roman" w:hAnsi="Times New Roman" w:eastAsia="楷体" w:cs="Times New Roman"/>
          <w:b/>
          <w:bCs/>
          <w:color w:val="333333"/>
          <w:kern w:val="0"/>
          <w:sz w:val="28"/>
          <w:szCs w:val="28"/>
        </w:rPr>
        <w:t>（一）征地补偿标准</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依据《中华人民共和国土地管理法》等法律法规以及《江西省人民政府关于公布全省征地区片综合地价的通知》（赣府字〔2020〕9号）批准公布的现行征地补偿费用标准。</w:t>
      </w:r>
    </w:p>
    <w:p>
      <w:pPr>
        <w:widowControl/>
        <w:shd w:val="clear" w:color="auto" w:fill="FFFFFF"/>
        <w:spacing w:line="360" w:lineRule="auto"/>
        <w:ind w:firstLine="562" w:firstLineChars="200"/>
        <w:rPr>
          <w:rFonts w:ascii="Times New Roman" w:hAnsi="Times New Roman" w:eastAsia="楷体" w:cs="Times New Roman"/>
          <w:b/>
          <w:bCs/>
          <w:color w:val="333333"/>
          <w:kern w:val="0"/>
          <w:sz w:val="28"/>
          <w:szCs w:val="28"/>
        </w:rPr>
      </w:pPr>
      <w:r>
        <w:rPr>
          <w:rFonts w:ascii="Times New Roman" w:hAnsi="Times New Roman" w:eastAsia="楷体" w:cs="Times New Roman"/>
          <w:b/>
          <w:bCs/>
          <w:color w:val="333333"/>
          <w:kern w:val="0"/>
          <w:sz w:val="28"/>
          <w:szCs w:val="28"/>
        </w:rPr>
        <w:t>（二）征地补偿安置情况</w:t>
      </w:r>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按照区片综合地价和被征地农民安置与社会保障有关规定，拟定征地补偿安置方案，落实被征地农民社会保障资金，确保被征地农民原有生活水平不降低、长远生计有保障。</w:t>
      </w:r>
    </w:p>
    <w:p>
      <w:pPr>
        <w:spacing w:line="360" w:lineRule="auto"/>
        <w:outlineLvl w:val="0"/>
        <w:rPr>
          <w:rFonts w:ascii="Times New Roman" w:hAnsi="Times New Roman" w:eastAsia="黑体" w:cs="Times New Roman"/>
          <w:sz w:val="28"/>
          <w:szCs w:val="28"/>
        </w:rPr>
      </w:pPr>
      <w:bookmarkStart w:id="14" w:name="_Toc74694676"/>
      <w:r>
        <w:rPr>
          <w:rFonts w:ascii="Times New Roman" w:hAnsi="Times New Roman" w:eastAsia="黑体" w:cs="Times New Roman"/>
          <w:sz w:val="28"/>
          <w:szCs w:val="28"/>
        </w:rPr>
        <w:t>十、结论</w:t>
      </w:r>
      <w:bookmarkEnd w:id="14"/>
    </w:p>
    <w:p>
      <w:pPr>
        <w:spacing w:line="360" w:lineRule="auto"/>
        <w:ind w:left="210" w:leftChars="100" w:firstLine="560" w:firstLineChars="200"/>
        <w:rPr>
          <w:rFonts w:ascii="Times New Roman" w:hAnsi="Times New Roman" w:eastAsia="仿宋_GB2312" w:cs="Times New Roman"/>
          <w:color w:val="333333"/>
          <w:kern w:val="0"/>
          <w:sz w:val="28"/>
          <w:szCs w:val="28"/>
        </w:rPr>
      </w:pPr>
      <w:r>
        <w:rPr>
          <w:rFonts w:ascii="Times New Roman" w:hAnsi="Times New Roman" w:eastAsia="仿宋_GB2312" w:cs="Times New Roman"/>
          <w:color w:val="333333"/>
          <w:kern w:val="0"/>
          <w:sz w:val="28"/>
          <w:szCs w:val="28"/>
        </w:rPr>
        <w:t>本次成片开发方案符合自然资源部及江西省自然资源厅关于土地征收“成片开发”的标准，做到保护耕地、保护生态环境、维护农民合法权益、节约集约用地，能使项目区域生态环境实现良性循环，实现人与自然、经济发展与资源环境协调、可持续发展。</w:t>
      </w:r>
    </w:p>
    <w:p>
      <w:pPr>
        <w:widowControl/>
        <w:rPr>
          <w:rFonts w:ascii="Times New Roman" w:hAnsi="Times New Roman" w:eastAsia="仿宋_GB2312" w:cs="Times New Roman"/>
          <w:color w:val="333333"/>
          <w:kern w:val="0"/>
          <w:sz w:val="24"/>
          <w:szCs w:val="24"/>
        </w:rPr>
        <w:sectPr>
          <w:pgSz w:w="11906" w:h="16838"/>
          <w:pgMar w:top="1440" w:right="1797" w:bottom="1440" w:left="1797" w:header="851" w:footer="992" w:gutter="0"/>
          <w:cols w:space="425" w:num="1"/>
          <w:docGrid w:type="lines" w:linePitch="312" w:charSpace="0"/>
        </w:sectPr>
      </w:pPr>
    </w:p>
    <w:p>
      <w:pPr>
        <w:widowControl/>
        <w:rPr>
          <w:rFonts w:ascii="Times New Roman" w:hAnsi="Times New Roman" w:eastAsia="仿宋_GB2312" w:cs="Times New Roman"/>
          <w:b/>
          <w:color w:val="333333"/>
          <w:kern w:val="0"/>
          <w:sz w:val="28"/>
          <w:szCs w:val="28"/>
        </w:rPr>
      </w:pPr>
      <w:r>
        <w:rPr>
          <w:rFonts w:ascii="Times New Roman" w:hAnsi="Times New Roman" w:eastAsia="仿宋_GB2312" w:cs="Times New Roman"/>
          <w:color w:val="333333"/>
          <w:kern w:val="0"/>
          <w:sz w:val="24"/>
          <w:szCs w:val="24"/>
        </w:rPr>
        <w:drawing>
          <wp:anchor distT="0" distB="0" distL="114300" distR="114300" simplePos="0" relativeHeight="251660288" behindDoc="0" locked="0" layoutInCell="1" allowOverlap="1">
            <wp:simplePos x="0" y="0"/>
            <wp:positionH relativeFrom="margin">
              <wp:align>center</wp:align>
            </wp:positionH>
            <wp:positionV relativeFrom="paragraph">
              <wp:posOffset>226695</wp:posOffset>
            </wp:positionV>
            <wp:extent cx="7637780" cy="5400040"/>
            <wp:effectExtent l="0" t="0" r="1270" b="0"/>
            <wp:wrapSquare wrapText="bothSides"/>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38090" cy="5400000"/>
                    </a:xfrm>
                    <a:prstGeom prst="rect">
                      <a:avLst/>
                    </a:prstGeom>
                  </pic:spPr>
                </pic:pic>
              </a:graphicData>
            </a:graphic>
          </wp:anchor>
        </w:drawing>
      </w:r>
      <w:r>
        <w:rPr>
          <w:rFonts w:ascii="Times New Roman" w:hAnsi="Times New Roman" w:eastAsia="仿宋_GB2312" w:cs="Times New Roman"/>
          <w:b/>
          <w:color w:val="333333"/>
          <w:kern w:val="0"/>
          <w:sz w:val="28"/>
          <w:szCs w:val="28"/>
        </w:rPr>
        <w:t>附图：</w:t>
      </w:r>
    </w:p>
    <w:p>
      <w:pPr>
        <w:widowControl/>
        <w:jc w:val="center"/>
        <w:rPr>
          <w:rFonts w:ascii="Times New Roman" w:hAnsi="Times New Roman" w:eastAsia="仿宋_GB2312" w:cs="Times New Roman"/>
          <w:color w:val="333333"/>
          <w:kern w:val="0"/>
          <w:sz w:val="24"/>
          <w:szCs w:val="24"/>
        </w:rPr>
      </w:pPr>
      <w:r>
        <w:rPr>
          <w:rFonts w:ascii="Times New Roman" w:hAnsi="Times New Roman" w:eastAsia="仿宋_GB2312" w:cs="Times New Roman"/>
          <w:color w:val="333333"/>
          <w:kern w:val="0"/>
          <w:sz w:val="24"/>
          <w:szCs w:val="24"/>
        </w:rPr>
        <w:drawing>
          <wp:inline distT="0" distB="0" distL="0" distR="0">
            <wp:extent cx="7637780" cy="5399405"/>
            <wp:effectExtent l="0" t="0" r="127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638090" cy="5400000"/>
                    </a:xfrm>
                    <a:prstGeom prst="rect">
                      <a:avLst/>
                    </a:prstGeom>
                  </pic:spPr>
                </pic:pic>
              </a:graphicData>
            </a:graphic>
          </wp:inline>
        </w:drawing>
      </w:r>
      <w:r>
        <w:rPr>
          <w:rFonts w:ascii="Times New Roman" w:hAnsi="Times New Roman" w:eastAsia="仿宋_GB2312" w:cs="Times New Roman"/>
          <w:color w:val="333333"/>
          <w:kern w:val="0"/>
          <w:sz w:val="24"/>
          <w:szCs w:val="24"/>
        </w:rPr>
        <w:drawing>
          <wp:inline distT="0" distB="0" distL="0" distR="0">
            <wp:extent cx="7637780" cy="5399405"/>
            <wp:effectExtent l="0" t="0" r="127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38090" cy="5400000"/>
                    </a:xfrm>
                    <a:prstGeom prst="rect">
                      <a:avLst/>
                    </a:prstGeom>
                  </pic:spPr>
                </pic:pic>
              </a:graphicData>
            </a:graphic>
          </wp:inline>
        </w:drawing>
      </w:r>
      <w:r>
        <w:rPr>
          <w:rFonts w:ascii="Times New Roman" w:hAnsi="Times New Roman" w:eastAsia="仿宋_GB2312" w:cs="Times New Roman"/>
          <w:color w:val="333333"/>
          <w:kern w:val="0"/>
          <w:sz w:val="24"/>
          <w:szCs w:val="24"/>
        </w:rPr>
        <w:drawing>
          <wp:inline distT="0" distB="0" distL="0" distR="0">
            <wp:extent cx="7637780" cy="5399405"/>
            <wp:effectExtent l="0" t="0" r="127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638090" cy="5400000"/>
                    </a:xfrm>
                    <a:prstGeom prst="rect">
                      <a:avLst/>
                    </a:prstGeom>
                  </pic:spPr>
                </pic:pic>
              </a:graphicData>
            </a:graphic>
          </wp:inline>
        </w:drawing>
      </w:r>
      <w:r>
        <w:rPr>
          <w:rFonts w:ascii="Times New Roman" w:hAnsi="Times New Roman" w:eastAsia="仿宋_GB2312" w:cs="Times New Roman"/>
          <w:color w:val="333333"/>
          <w:kern w:val="0"/>
          <w:sz w:val="24"/>
          <w:szCs w:val="24"/>
        </w:rPr>
        <w:drawing>
          <wp:inline distT="0" distB="0" distL="0" distR="0">
            <wp:extent cx="7637780" cy="5399405"/>
            <wp:effectExtent l="0" t="0" r="127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38090" cy="5400000"/>
                    </a:xfrm>
                    <a:prstGeom prst="rect">
                      <a:avLst/>
                    </a:prstGeom>
                  </pic:spPr>
                </pic:pic>
              </a:graphicData>
            </a:graphic>
          </wp:inline>
        </w:drawing>
      </w:r>
    </w:p>
    <w:sectPr>
      <w:pgSz w:w="16838" w:h="11906" w:orient="landscape"/>
      <w:pgMar w:top="1797" w:right="1440" w:bottom="1797"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1698272"/>
      <w:docPartObj>
        <w:docPartGallery w:val="autotext"/>
      </w:docPartObj>
    </w:sdtPr>
    <w:sdtContent>
      <w:p>
        <w:pPr>
          <w:pStyle w:val="4"/>
          <w:jc w:val="center"/>
        </w:pPr>
        <w:r>
          <w:fldChar w:fldCharType="begin"/>
        </w:r>
        <w:r>
          <w:instrText xml:space="preserve">PAGE   \* MERGEFORMAT</w:instrText>
        </w:r>
        <w:r>
          <w:fldChar w:fldCharType="separate"/>
        </w:r>
        <w:r>
          <w:rPr>
            <w:lang w:val="zh-CN"/>
          </w:rPr>
          <w:t>3</w:t>
        </w:r>
        <w:r>
          <w:fldChar w:fldCharType="end"/>
        </w:r>
      </w:p>
    </w:sdtContent>
  </w:sdt>
  <w:p>
    <w:pPr>
      <w:pStyle w:val="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03090503"/>
      <w:docPartObj>
        <w:docPartGallery w:val="autotext"/>
      </w:docPartObj>
    </w:sdtPr>
    <w:sdtContent>
      <w:p>
        <w:pPr>
          <w:pStyle w:val="4"/>
          <w:jc w:val="center"/>
        </w:pPr>
        <w:r>
          <w:fldChar w:fldCharType="begin"/>
        </w:r>
        <w:r>
          <w:instrText xml:space="preserve">PAGE   \* MERGEFORMAT</w:instrText>
        </w:r>
        <w:r>
          <w:fldChar w:fldCharType="separate"/>
        </w:r>
        <w:r>
          <w:rPr>
            <w:lang w:val="zh-CN"/>
          </w:rPr>
          <w:t>10</w:t>
        </w:r>
        <w:r>
          <w:fldChar w:fldCharType="end"/>
        </w:r>
      </w:p>
    </w:sdtContent>
  </w:sdt>
  <w:p>
    <w:pPr>
      <w:pStyle w:val="4"/>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35255783"/>
      <w:docPartObj>
        <w:docPartGallery w:val="autotext"/>
      </w:docPartObj>
    </w:sdtPr>
    <w:sdtContent>
      <w:p>
        <w:pPr>
          <w:pStyle w:val="4"/>
          <w:jc w:val="center"/>
        </w:pPr>
        <w:r>
          <w:fldChar w:fldCharType="begin"/>
        </w:r>
        <w:r>
          <w:instrText xml:space="preserve">PAGE   \* MERGEFORMAT</w:instrText>
        </w:r>
        <w:r>
          <w:fldChar w:fldCharType="separate"/>
        </w:r>
        <w:r>
          <w:rPr>
            <w:lang w:val="zh-CN"/>
          </w:rPr>
          <w:t>1</w:t>
        </w:r>
        <w:r>
          <w:fldChar w:fldCharType="end"/>
        </w:r>
      </w:p>
    </w:sdtContent>
  </w:sdt>
  <w:p>
    <w:pPr>
      <w:pStyle w:val="4"/>
      <w:jc w:val="cen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NlYjM3NjMwNzgyZWYzY2IzY2M2OTZiNjRlNDNlY2MifQ=="/>
  </w:docVars>
  <w:rsids>
    <w:rsidRoot w:val="007E6429"/>
    <w:rsid w:val="00003C7B"/>
    <w:rsid w:val="000052D9"/>
    <w:rsid w:val="00005F4F"/>
    <w:rsid w:val="00007859"/>
    <w:rsid w:val="00011045"/>
    <w:rsid w:val="00024D5E"/>
    <w:rsid w:val="000303B6"/>
    <w:rsid w:val="00041F38"/>
    <w:rsid w:val="000451AF"/>
    <w:rsid w:val="000478D3"/>
    <w:rsid w:val="00065C71"/>
    <w:rsid w:val="00085CC8"/>
    <w:rsid w:val="0009021E"/>
    <w:rsid w:val="000963F2"/>
    <w:rsid w:val="000B47C7"/>
    <w:rsid w:val="000C259C"/>
    <w:rsid w:val="000C51BA"/>
    <w:rsid w:val="000D48A1"/>
    <w:rsid w:val="000E0147"/>
    <w:rsid w:val="001003A3"/>
    <w:rsid w:val="001030B1"/>
    <w:rsid w:val="001078C2"/>
    <w:rsid w:val="00123A82"/>
    <w:rsid w:val="00160AE4"/>
    <w:rsid w:val="00193A84"/>
    <w:rsid w:val="0019471C"/>
    <w:rsid w:val="001956B8"/>
    <w:rsid w:val="001A1B63"/>
    <w:rsid w:val="001A234B"/>
    <w:rsid w:val="001B13D7"/>
    <w:rsid w:val="001C0101"/>
    <w:rsid w:val="001C2751"/>
    <w:rsid w:val="001C324F"/>
    <w:rsid w:val="001C5958"/>
    <w:rsid w:val="001C637E"/>
    <w:rsid w:val="001D385B"/>
    <w:rsid w:val="001D7F13"/>
    <w:rsid w:val="001E2012"/>
    <w:rsid w:val="001E79AC"/>
    <w:rsid w:val="001F1732"/>
    <w:rsid w:val="001F4BCF"/>
    <w:rsid w:val="001F5879"/>
    <w:rsid w:val="002015D2"/>
    <w:rsid w:val="00203544"/>
    <w:rsid w:val="00206C30"/>
    <w:rsid w:val="00224307"/>
    <w:rsid w:val="002251F6"/>
    <w:rsid w:val="00227B51"/>
    <w:rsid w:val="00250D57"/>
    <w:rsid w:val="002609E5"/>
    <w:rsid w:val="00283BB4"/>
    <w:rsid w:val="00293D3E"/>
    <w:rsid w:val="002C389C"/>
    <w:rsid w:val="002F652E"/>
    <w:rsid w:val="002F72C8"/>
    <w:rsid w:val="003002E6"/>
    <w:rsid w:val="00314415"/>
    <w:rsid w:val="003163A6"/>
    <w:rsid w:val="00330866"/>
    <w:rsid w:val="0034003C"/>
    <w:rsid w:val="00342BBF"/>
    <w:rsid w:val="003459DE"/>
    <w:rsid w:val="00352AD8"/>
    <w:rsid w:val="003703DB"/>
    <w:rsid w:val="00373E3D"/>
    <w:rsid w:val="00376502"/>
    <w:rsid w:val="003832C8"/>
    <w:rsid w:val="00396F53"/>
    <w:rsid w:val="003A3997"/>
    <w:rsid w:val="003A6902"/>
    <w:rsid w:val="003A6DA7"/>
    <w:rsid w:val="003B184F"/>
    <w:rsid w:val="003B5069"/>
    <w:rsid w:val="003B6DB6"/>
    <w:rsid w:val="003C225D"/>
    <w:rsid w:val="003D2DEF"/>
    <w:rsid w:val="003D5241"/>
    <w:rsid w:val="003F2D9C"/>
    <w:rsid w:val="004072F0"/>
    <w:rsid w:val="004075C3"/>
    <w:rsid w:val="00414D7E"/>
    <w:rsid w:val="00420649"/>
    <w:rsid w:val="00425B58"/>
    <w:rsid w:val="00442A49"/>
    <w:rsid w:val="0044453F"/>
    <w:rsid w:val="00464A8A"/>
    <w:rsid w:val="00465EF2"/>
    <w:rsid w:val="00473C83"/>
    <w:rsid w:val="00486A2C"/>
    <w:rsid w:val="004C649F"/>
    <w:rsid w:val="004D0FD0"/>
    <w:rsid w:val="004D275D"/>
    <w:rsid w:val="004D432F"/>
    <w:rsid w:val="004F4D40"/>
    <w:rsid w:val="004F59F0"/>
    <w:rsid w:val="00504A40"/>
    <w:rsid w:val="00504CDA"/>
    <w:rsid w:val="00514958"/>
    <w:rsid w:val="005212EE"/>
    <w:rsid w:val="00524324"/>
    <w:rsid w:val="00532254"/>
    <w:rsid w:val="00534374"/>
    <w:rsid w:val="00546FD9"/>
    <w:rsid w:val="00553374"/>
    <w:rsid w:val="005573AF"/>
    <w:rsid w:val="00566124"/>
    <w:rsid w:val="00572621"/>
    <w:rsid w:val="00574525"/>
    <w:rsid w:val="00580524"/>
    <w:rsid w:val="0058699B"/>
    <w:rsid w:val="00587103"/>
    <w:rsid w:val="0059038D"/>
    <w:rsid w:val="005A3A26"/>
    <w:rsid w:val="005A5856"/>
    <w:rsid w:val="005B0EC2"/>
    <w:rsid w:val="005B0FBE"/>
    <w:rsid w:val="005C5951"/>
    <w:rsid w:val="005D3263"/>
    <w:rsid w:val="005E38F9"/>
    <w:rsid w:val="005E6432"/>
    <w:rsid w:val="005F0AA0"/>
    <w:rsid w:val="005F34AD"/>
    <w:rsid w:val="0060728A"/>
    <w:rsid w:val="0064545F"/>
    <w:rsid w:val="0064689B"/>
    <w:rsid w:val="00652B51"/>
    <w:rsid w:val="00664C43"/>
    <w:rsid w:val="00671536"/>
    <w:rsid w:val="00674855"/>
    <w:rsid w:val="006822F8"/>
    <w:rsid w:val="0068461D"/>
    <w:rsid w:val="00685506"/>
    <w:rsid w:val="006B7F1E"/>
    <w:rsid w:val="006D0817"/>
    <w:rsid w:val="006E6176"/>
    <w:rsid w:val="006F5BA4"/>
    <w:rsid w:val="007048A3"/>
    <w:rsid w:val="00705A75"/>
    <w:rsid w:val="0070761C"/>
    <w:rsid w:val="007246B5"/>
    <w:rsid w:val="00734A2A"/>
    <w:rsid w:val="0075039F"/>
    <w:rsid w:val="007505DE"/>
    <w:rsid w:val="00757049"/>
    <w:rsid w:val="00780C30"/>
    <w:rsid w:val="00787A41"/>
    <w:rsid w:val="0079155F"/>
    <w:rsid w:val="007B5599"/>
    <w:rsid w:val="007C14D6"/>
    <w:rsid w:val="007D141E"/>
    <w:rsid w:val="007E6429"/>
    <w:rsid w:val="0080641B"/>
    <w:rsid w:val="00812B89"/>
    <w:rsid w:val="008235B6"/>
    <w:rsid w:val="00837595"/>
    <w:rsid w:val="008455BD"/>
    <w:rsid w:val="00856D25"/>
    <w:rsid w:val="00857A5B"/>
    <w:rsid w:val="008655CC"/>
    <w:rsid w:val="008831B4"/>
    <w:rsid w:val="008874B4"/>
    <w:rsid w:val="008A2644"/>
    <w:rsid w:val="008B0126"/>
    <w:rsid w:val="008B4851"/>
    <w:rsid w:val="008B5A30"/>
    <w:rsid w:val="008B6A28"/>
    <w:rsid w:val="008C0F87"/>
    <w:rsid w:val="008C2950"/>
    <w:rsid w:val="008D03C0"/>
    <w:rsid w:val="008D31A0"/>
    <w:rsid w:val="008E0639"/>
    <w:rsid w:val="008E4559"/>
    <w:rsid w:val="008F1F42"/>
    <w:rsid w:val="008F57D3"/>
    <w:rsid w:val="00911BE0"/>
    <w:rsid w:val="00912C40"/>
    <w:rsid w:val="009173FF"/>
    <w:rsid w:val="00920292"/>
    <w:rsid w:val="009228F6"/>
    <w:rsid w:val="00925171"/>
    <w:rsid w:val="009253A4"/>
    <w:rsid w:val="0094477A"/>
    <w:rsid w:val="00947FA3"/>
    <w:rsid w:val="00950529"/>
    <w:rsid w:val="009554EB"/>
    <w:rsid w:val="00962DF8"/>
    <w:rsid w:val="00962E90"/>
    <w:rsid w:val="00965C25"/>
    <w:rsid w:val="00972265"/>
    <w:rsid w:val="00973CBB"/>
    <w:rsid w:val="00983FC4"/>
    <w:rsid w:val="00986A41"/>
    <w:rsid w:val="0098771A"/>
    <w:rsid w:val="009A09A6"/>
    <w:rsid w:val="009A3325"/>
    <w:rsid w:val="009B26B2"/>
    <w:rsid w:val="009C7016"/>
    <w:rsid w:val="009D69FA"/>
    <w:rsid w:val="00A03A09"/>
    <w:rsid w:val="00A122C3"/>
    <w:rsid w:val="00A1249E"/>
    <w:rsid w:val="00A1362F"/>
    <w:rsid w:val="00A265A3"/>
    <w:rsid w:val="00A30EA0"/>
    <w:rsid w:val="00A30F94"/>
    <w:rsid w:val="00A32A03"/>
    <w:rsid w:val="00A35DB1"/>
    <w:rsid w:val="00A36FD9"/>
    <w:rsid w:val="00A41913"/>
    <w:rsid w:val="00A440AB"/>
    <w:rsid w:val="00A5797A"/>
    <w:rsid w:val="00A70AE0"/>
    <w:rsid w:val="00A731BE"/>
    <w:rsid w:val="00A8372A"/>
    <w:rsid w:val="00A86F8F"/>
    <w:rsid w:val="00A919FC"/>
    <w:rsid w:val="00A94EF3"/>
    <w:rsid w:val="00AA06E8"/>
    <w:rsid w:val="00AA11CE"/>
    <w:rsid w:val="00AA7897"/>
    <w:rsid w:val="00AB2AAC"/>
    <w:rsid w:val="00AC115A"/>
    <w:rsid w:val="00AC44DF"/>
    <w:rsid w:val="00AD3A6E"/>
    <w:rsid w:val="00AF04A3"/>
    <w:rsid w:val="00AF11D4"/>
    <w:rsid w:val="00AF1E41"/>
    <w:rsid w:val="00AF48CB"/>
    <w:rsid w:val="00AF5211"/>
    <w:rsid w:val="00AF5B30"/>
    <w:rsid w:val="00AF717E"/>
    <w:rsid w:val="00B007E4"/>
    <w:rsid w:val="00B06095"/>
    <w:rsid w:val="00B061C5"/>
    <w:rsid w:val="00B16522"/>
    <w:rsid w:val="00B2317B"/>
    <w:rsid w:val="00B30679"/>
    <w:rsid w:val="00B35AA7"/>
    <w:rsid w:val="00B462EB"/>
    <w:rsid w:val="00B534E5"/>
    <w:rsid w:val="00B56B3C"/>
    <w:rsid w:val="00B60024"/>
    <w:rsid w:val="00B724C4"/>
    <w:rsid w:val="00B76D10"/>
    <w:rsid w:val="00B80989"/>
    <w:rsid w:val="00B90393"/>
    <w:rsid w:val="00B9223B"/>
    <w:rsid w:val="00BA3AB7"/>
    <w:rsid w:val="00BA5C67"/>
    <w:rsid w:val="00BB2D27"/>
    <w:rsid w:val="00BB4728"/>
    <w:rsid w:val="00BB6D4D"/>
    <w:rsid w:val="00BC1427"/>
    <w:rsid w:val="00BC2492"/>
    <w:rsid w:val="00BC6D8C"/>
    <w:rsid w:val="00BD1A66"/>
    <w:rsid w:val="00BE2EAD"/>
    <w:rsid w:val="00BE69AF"/>
    <w:rsid w:val="00BE74BE"/>
    <w:rsid w:val="00BF3A93"/>
    <w:rsid w:val="00C04146"/>
    <w:rsid w:val="00C13F72"/>
    <w:rsid w:val="00C354DD"/>
    <w:rsid w:val="00C47594"/>
    <w:rsid w:val="00C57071"/>
    <w:rsid w:val="00C7082B"/>
    <w:rsid w:val="00C73AE0"/>
    <w:rsid w:val="00C766ED"/>
    <w:rsid w:val="00C826B0"/>
    <w:rsid w:val="00CA1A9B"/>
    <w:rsid w:val="00CC548C"/>
    <w:rsid w:val="00CC7DF0"/>
    <w:rsid w:val="00CD5622"/>
    <w:rsid w:val="00CE2492"/>
    <w:rsid w:val="00CE3F5A"/>
    <w:rsid w:val="00CE61CB"/>
    <w:rsid w:val="00D05638"/>
    <w:rsid w:val="00D10426"/>
    <w:rsid w:val="00D219A2"/>
    <w:rsid w:val="00D266A4"/>
    <w:rsid w:val="00D2770F"/>
    <w:rsid w:val="00D32183"/>
    <w:rsid w:val="00D60858"/>
    <w:rsid w:val="00D62639"/>
    <w:rsid w:val="00D70E60"/>
    <w:rsid w:val="00D72126"/>
    <w:rsid w:val="00D97F4F"/>
    <w:rsid w:val="00DB5CC1"/>
    <w:rsid w:val="00DB785C"/>
    <w:rsid w:val="00DC084B"/>
    <w:rsid w:val="00DC527E"/>
    <w:rsid w:val="00DC7405"/>
    <w:rsid w:val="00DE2345"/>
    <w:rsid w:val="00DF3242"/>
    <w:rsid w:val="00DF4992"/>
    <w:rsid w:val="00E1313C"/>
    <w:rsid w:val="00E16AF6"/>
    <w:rsid w:val="00E17278"/>
    <w:rsid w:val="00E179EB"/>
    <w:rsid w:val="00E22AD6"/>
    <w:rsid w:val="00E41947"/>
    <w:rsid w:val="00E46240"/>
    <w:rsid w:val="00E47CCD"/>
    <w:rsid w:val="00E54EE5"/>
    <w:rsid w:val="00E659E4"/>
    <w:rsid w:val="00E71EB1"/>
    <w:rsid w:val="00E75630"/>
    <w:rsid w:val="00E801D7"/>
    <w:rsid w:val="00E862DE"/>
    <w:rsid w:val="00E9244C"/>
    <w:rsid w:val="00EA61F6"/>
    <w:rsid w:val="00EB7FC3"/>
    <w:rsid w:val="00EC1CFA"/>
    <w:rsid w:val="00EC5839"/>
    <w:rsid w:val="00ED1E75"/>
    <w:rsid w:val="00ED2F0E"/>
    <w:rsid w:val="00EE0579"/>
    <w:rsid w:val="00EE23B0"/>
    <w:rsid w:val="00EF020E"/>
    <w:rsid w:val="00EF59B2"/>
    <w:rsid w:val="00F01CEA"/>
    <w:rsid w:val="00F038A1"/>
    <w:rsid w:val="00F40EF1"/>
    <w:rsid w:val="00F41570"/>
    <w:rsid w:val="00F43649"/>
    <w:rsid w:val="00F45379"/>
    <w:rsid w:val="00F92D65"/>
    <w:rsid w:val="00F97375"/>
    <w:rsid w:val="00FB258C"/>
    <w:rsid w:val="00FB5023"/>
    <w:rsid w:val="00FC79CE"/>
    <w:rsid w:val="00FE5374"/>
    <w:rsid w:val="00FF1F81"/>
    <w:rsid w:val="24145925"/>
    <w:rsid w:val="30B751E8"/>
    <w:rsid w:val="50355BDC"/>
    <w:rsid w:val="573575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7"/>
    <w:qFormat/>
    <w:uiPriority w:val="9"/>
    <w:pPr>
      <w:keepNext/>
      <w:keepLines/>
      <w:spacing w:before="340" w:after="330" w:line="578" w:lineRule="auto"/>
      <w:outlineLvl w:val="0"/>
    </w:pPr>
    <w:rPr>
      <w:b/>
      <w:bCs/>
      <w:kern w:val="44"/>
      <w:sz w:val="44"/>
      <w:szCs w:val="44"/>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toc 3"/>
    <w:basedOn w:val="1"/>
    <w:next w:val="1"/>
    <w:unhideWhenUsed/>
    <w:uiPriority w:val="39"/>
    <w:pPr>
      <w:widowControl/>
      <w:spacing w:after="100" w:line="259" w:lineRule="auto"/>
      <w:ind w:left="440"/>
      <w:jc w:val="left"/>
    </w:pPr>
    <w:rPr>
      <w:rFonts w:cs="Times New Roman"/>
      <w:kern w:val="0"/>
      <w:sz w:val="22"/>
    </w:rPr>
  </w:style>
  <w:style w:type="paragraph" w:styleId="4">
    <w:name w:val="footer"/>
    <w:basedOn w:val="1"/>
    <w:link w:val="16"/>
    <w:unhideWhenUsed/>
    <w:qFormat/>
    <w:uiPriority w:val="99"/>
    <w:pPr>
      <w:tabs>
        <w:tab w:val="center" w:pos="4153"/>
        <w:tab w:val="right" w:pos="8306"/>
      </w:tabs>
      <w:snapToGrid w:val="0"/>
      <w:jc w:val="left"/>
    </w:pPr>
    <w:rPr>
      <w:sz w:val="18"/>
      <w:szCs w:val="18"/>
    </w:rPr>
  </w:style>
  <w:style w:type="paragraph" w:styleId="5">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unhideWhenUsed/>
    <w:qFormat/>
    <w:uiPriority w:val="39"/>
    <w:pPr>
      <w:widowControl/>
      <w:spacing w:before="100" w:beforeAutospacing="1" w:after="100" w:afterAutospacing="1"/>
      <w:jc w:val="left"/>
    </w:pPr>
    <w:rPr>
      <w:rFonts w:ascii="宋体" w:hAnsi="宋体" w:eastAsia="宋体" w:cs="宋体"/>
      <w:kern w:val="0"/>
      <w:sz w:val="24"/>
      <w:szCs w:val="24"/>
    </w:rPr>
  </w:style>
  <w:style w:type="paragraph" w:styleId="7">
    <w:name w:val="footnote text"/>
    <w:basedOn w:val="1"/>
    <w:link w:val="19"/>
    <w:qFormat/>
    <w:uiPriority w:val="0"/>
    <w:pPr>
      <w:snapToGrid w:val="0"/>
      <w:jc w:val="left"/>
    </w:pPr>
    <w:rPr>
      <w:rFonts w:hAnsi="仿宋_GB2312"/>
      <w:sz w:val="18"/>
      <w:szCs w:val="24"/>
    </w:rPr>
  </w:style>
  <w:style w:type="paragraph" w:styleId="8">
    <w:name w:val="toc 2"/>
    <w:basedOn w:val="1"/>
    <w:next w:val="1"/>
    <w:unhideWhenUsed/>
    <w:uiPriority w:val="39"/>
    <w:pPr>
      <w:widowControl/>
      <w:spacing w:after="100" w:line="259" w:lineRule="auto"/>
      <w:ind w:left="220"/>
      <w:jc w:val="left"/>
    </w:pPr>
    <w:rPr>
      <w:rFonts w:cs="Times New Roman"/>
      <w:kern w:val="0"/>
      <w:sz w:val="22"/>
    </w:rPr>
  </w:style>
  <w:style w:type="paragraph" w:styleId="9">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uiPriority w:val="99"/>
    <w:rPr>
      <w:color w:val="0563C1" w:themeColor="hyperlink"/>
      <w:u w:val="single"/>
      <w14:textFill>
        <w14:solidFill>
          <w14:schemeClr w14:val="hlink"/>
        </w14:solidFill>
      </w14:textFill>
    </w:rPr>
  </w:style>
  <w:style w:type="paragraph" w:styleId="14">
    <w:name w:val="List Paragraph"/>
    <w:basedOn w:val="1"/>
    <w:qFormat/>
    <w:uiPriority w:val="34"/>
    <w:pPr>
      <w:ind w:firstLine="420" w:firstLineChars="200"/>
    </w:pPr>
  </w:style>
  <w:style w:type="character" w:customStyle="1" w:styleId="15">
    <w:name w:val="页眉 字符"/>
    <w:basedOn w:val="12"/>
    <w:link w:val="5"/>
    <w:qFormat/>
    <w:uiPriority w:val="99"/>
    <w:rPr>
      <w:sz w:val="18"/>
      <w:szCs w:val="18"/>
    </w:rPr>
  </w:style>
  <w:style w:type="character" w:customStyle="1" w:styleId="16">
    <w:name w:val="页脚 字符"/>
    <w:basedOn w:val="12"/>
    <w:link w:val="4"/>
    <w:qFormat/>
    <w:uiPriority w:val="99"/>
    <w:rPr>
      <w:sz w:val="18"/>
      <w:szCs w:val="18"/>
    </w:rPr>
  </w:style>
  <w:style w:type="character" w:customStyle="1" w:styleId="17">
    <w:name w:val="标题 1 字符"/>
    <w:basedOn w:val="12"/>
    <w:link w:val="2"/>
    <w:uiPriority w:val="9"/>
    <w:rPr>
      <w:b/>
      <w:bCs/>
      <w:kern w:val="44"/>
      <w:sz w:val="44"/>
      <w:szCs w:val="44"/>
    </w:rPr>
  </w:style>
  <w:style w:type="paragraph" w:customStyle="1" w:styleId="18">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19">
    <w:name w:val="脚注文本 字符"/>
    <w:basedOn w:val="12"/>
    <w:link w:val="7"/>
    <w:uiPriority w:val="0"/>
    <w:rPr>
      <w:rFonts w:hAnsi="仿宋_GB2312"/>
      <w:sz w:val="18"/>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customXml" Target="ink/ink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customXml" Target="../customXml/item1.xml"/><Relationship Id="rId14" Type="http://schemas.openxmlformats.org/officeDocument/2006/relationships/image" Target="media/image6.jpeg"/><Relationship Id="rId13" Type="http://schemas.openxmlformats.org/officeDocument/2006/relationships/image" Target="media/image5.jpeg"/><Relationship Id="rId12" Type="http://schemas.openxmlformats.org/officeDocument/2006/relationships/image" Target="media/image4.jpeg"/><Relationship Id="rId11" Type="http://schemas.openxmlformats.org/officeDocument/2006/relationships/image" Target="media/image3.jpeg"/><Relationship Id="rId10" Type="http://schemas.openxmlformats.org/officeDocument/2006/relationships/image" Target="media/image2.jpeg"/><Relationship Id="rId1" Type="http://schemas.openxmlformats.org/officeDocument/2006/relationships/styles" Target="styles.xml"/></Relationships>
</file>

<file path=word/ink/ink1.xml><?xml version="1.0" encoding="utf-8"?>
<inkml:ink xmlns:inkml="http://www.w3.org/2003/InkML">
  <inkml:definitions>
    <inkml:context xml:id="ctx0">
      <inkml:inkSource xml:id="inkSrc0">
        <inkml:traceFormat>
          <inkml:channel name="X" type="integer" max="2" min="-2" units="cm"/>
          <inkml:channel name="Y" type="integer" max="2" min="-2"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6-30T07:33:52"/>
    </inkml:context>
    <inkml:brush xml:id="br0">
      <inkml:brushProperty name="width" value="0.05" units="cm"/>
      <inkml:brushProperty name="height" value="0.05" units="cm"/>
      <inkml:brushProperty name="color" value="#000000"/>
    </inkml:brush>
  </inkml:definitions>
  <inkml:trace contextRef="#ctx0" brushRef="#br0">1 0 24575,'0'0'-8191</inkml:trace>
</inkml:ink>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FD78D0D-8E2E-40E2-BF0C-E15EDD33DFCB}">
  <ds:schemaRefs/>
</ds:datastoreItem>
</file>

<file path=docProps/app.xml><?xml version="1.0" encoding="utf-8"?>
<Properties xmlns="http://schemas.openxmlformats.org/officeDocument/2006/extended-properties" xmlns:vt="http://schemas.openxmlformats.org/officeDocument/2006/docPropsVTypes">
  <Template>Normal</Template>
  <Pages>16</Pages>
  <Words>4150</Words>
  <Characters>4557</Characters>
  <Lines>40</Lines>
  <Paragraphs>11</Paragraphs>
  <TotalTime>1232</TotalTime>
  <ScaleCrop>false</ScaleCrop>
  <LinksUpToDate>false</LinksUpToDate>
  <CharactersWithSpaces>4631</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2021-10-26T09:03:00Z</dcterms:created>
  <dc:creator>刘 晗</dc:creator>
  <cp:lastModifiedBy>zheng</cp:lastModifiedBy>
  <dcterms:modified xsi:type="dcterms:W3CDTF">2022-08-11T09:18:48Z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F46EE3D6F5D64073939B5135650CCED0</vt:lpwstr>
  </property>
</Properties>
</file>