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44"/>
          <w:szCs w:val="36"/>
        </w:rPr>
      </w:pPr>
      <w:r>
        <w:rPr>
          <w:rFonts w:hint="eastAsia" w:ascii="黑体" w:hAnsi="黑体" w:eastAsia="黑体"/>
          <w:sz w:val="44"/>
          <w:szCs w:val="36"/>
        </w:rPr>
        <w:t>附件1：</w:t>
      </w:r>
    </w:p>
    <w:p>
      <w:pPr>
        <w:spacing w:line="600" w:lineRule="exact"/>
        <w:jc w:val="center"/>
        <w:rPr>
          <w:rFonts w:hint="eastAsia" w:ascii="黑体" w:hAnsi="黑体" w:eastAsia="黑体"/>
          <w:sz w:val="44"/>
          <w:szCs w:val="36"/>
        </w:rPr>
      </w:pPr>
    </w:p>
    <w:p>
      <w:pPr>
        <w:spacing w:line="600" w:lineRule="exact"/>
        <w:jc w:val="center"/>
        <w:rPr>
          <w:rFonts w:hint="eastAsia" w:ascii="黑体" w:eastAsia="黑体"/>
          <w:sz w:val="44"/>
          <w:szCs w:val="36"/>
        </w:rPr>
      </w:pPr>
      <w:r>
        <w:rPr>
          <w:rFonts w:hint="eastAsia" w:ascii="黑体" w:hAnsi="黑体" w:eastAsia="黑体"/>
          <w:sz w:val="44"/>
          <w:szCs w:val="36"/>
          <w:lang w:eastAsia="zh-CN"/>
        </w:rPr>
        <w:t>规划大队</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规划大队</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both"/>
        <w:rPr>
          <w:rFonts w:hint="eastAsia" w:ascii="宋体" w:hAnsi="宋体" w:eastAsia="宋体"/>
          <w:b/>
          <w:sz w:val="36"/>
          <w:szCs w:val="36"/>
          <w:lang w:val="en-US" w:eastAsia="zh-CN"/>
        </w:rPr>
      </w:pPr>
    </w:p>
    <w:p>
      <w:pPr>
        <w:jc w:val="both"/>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规划大队</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5"/>
        <w:ind w:firstLine="600"/>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规划监察大队贯彻县委县政府的指示，加强我县新型城镇化建设，实行“两违”清理工作的同时，认真做好配合17个乡镇对主要道路沿线的拆除与整改，对“一江两岸”棚改重点区域抢建的拆除工作。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 xml:space="preserve">纳入本套部门决算汇编范围的单位共   </w:t>
      </w: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个，</w:t>
      </w:r>
      <w:r>
        <w:rPr>
          <w:rFonts w:hint="eastAsia" w:ascii="仿宋" w:hAnsi="仿宋" w:eastAsia="仿宋"/>
          <w:sz w:val="30"/>
          <w:szCs w:val="30"/>
          <w:highlight w:val="none"/>
          <w:lang w:eastAsia="zh-CN"/>
        </w:rPr>
        <w:t>城乡规划监察大队</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城乡规划监察大队为自收自支事业单位，自收自支事业编制人员为20人，自聘合同制协管人员20人，经费由财政统筹安排。</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1285" w:firstLineChars="400"/>
        <w:jc w:val="both"/>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ind w:firstLine="1600" w:firstLineChars="500"/>
        <w:jc w:val="left"/>
        <w:rPr>
          <w:rFonts w:hint="eastAsia"/>
          <w:szCs w:val="30"/>
        </w:rPr>
      </w:pPr>
      <w:r>
        <w:rPr>
          <w:rFonts w:hint="eastAsia" w:ascii="仿宋" w:hAnsi="仿宋" w:eastAsia="仿宋"/>
          <w:sz w:val="32"/>
          <w:szCs w:val="32"/>
          <w:highlight w:val="none"/>
          <w:lang w:eastAsia="zh-CN"/>
        </w:rPr>
        <w:t>九张表</w:t>
      </w:r>
      <w:r>
        <w:rPr>
          <w:rFonts w:hint="eastAsia" w:ascii="仿宋" w:hAnsi="仿宋" w:eastAsia="仿宋"/>
          <w:sz w:val="30"/>
          <w:szCs w:val="30"/>
          <w:highlight w:val="none"/>
          <w:lang w:eastAsia="zh-CN"/>
        </w:rPr>
        <w:t>（</w:t>
      </w:r>
      <w:r>
        <w:rPr>
          <w:rFonts w:hint="eastAsia" w:ascii="仿宋" w:hAnsi="仿宋" w:eastAsia="仿宋"/>
          <w:sz w:val="30"/>
          <w:szCs w:val="30"/>
          <w:highlight w:val="none"/>
          <w:lang w:eastAsia="zh-CN"/>
        </w:rPr>
        <w:t>见附件</w:t>
      </w:r>
      <w:r>
        <w:rPr>
          <w:rFonts w:hint="eastAsia" w:ascii="仿宋" w:hAnsi="仿宋" w:eastAsia="仿宋"/>
          <w:sz w:val="30"/>
          <w:szCs w:val="30"/>
          <w:highlight w:val="none"/>
          <w:lang w:eastAsia="zh-CN"/>
        </w:rPr>
        <w:t>）</w: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ind w:firstLine="2249" w:firstLineChars="700"/>
        <w:jc w:val="left"/>
        <w:rPr>
          <w:rFonts w:hint="eastAsia" w:ascii="宋体" w:hAnsi="宋体"/>
          <w:b/>
          <w:sz w:val="32"/>
          <w:szCs w:val="32"/>
        </w:rPr>
      </w:pPr>
    </w:p>
    <w:p>
      <w:pPr>
        <w:autoSpaceDE w:val="0"/>
        <w:autoSpaceDN w:val="0"/>
        <w:adjustRightInd w:val="0"/>
        <w:spacing w:line="360" w:lineRule="auto"/>
        <w:ind w:firstLine="2249" w:firstLineChars="700"/>
        <w:jc w:val="left"/>
        <w:rPr>
          <w:rFonts w:hint="eastAsia" w:ascii="宋体" w:hAnsi="宋体"/>
          <w:b/>
          <w:sz w:val="32"/>
          <w:szCs w:val="32"/>
        </w:rPr>
      </w:pPr>
    </w:p>
    <w:p>
      <w:pPr>
        <w:autoSpaceDE w:val="0"/>
        <w:autoSpaceDN w:val="0"/>
        <w:adjustRightInd w:val="0"/>
        <w:spacing w:line="360" w:lineRule="auto"/>
        <w:ind w:firstLine="2249" w:firstLineChars="700"/>
        <w:jc w:val="left"/>
        <w:rPr>
          <w:rFonts w:hint="eastAsia" w:ascii="宋体" w:hAnsi="宋体"/>
          <w:b/>
          <w:sz w:val="32"/>
          <w:szCs w:val="32"/>
        </w:rPr>
      </w:pPr>
    </w:p>
    <w:p>
      <w:pPr>
        <w:autoSpaceDE w:val="0"/>
        <w:autoSpaceDN w:val="0"/>
        <w:adjustRightInd w:val="0"/>
        <w:spacing w:line="360" w:lineRule="auto"/>
        <w:ind w:firstLine="2249" w:firstLineChars="700"/>
        <w:jc w:val="left"/>
        <w:rPr>
          <w:rFonts w:hint="eastAsia" w:ascii="宋体" w:hAnsi="宋体"/>
          <w:b/>
          <w:sz w:val="32"/>
          <w:szCs w:val="32"/>
        </w:rPr>
      </w:pPr>
    </w:p>
    <w:p>
      <w:pPr>
        <w:autoSpaceDE w:val="0"/>
        <w:autoSpaceDN w:val="0"/>
        <w:adjustRightInd w:val="0"/>
        <w:spacing w:line="360" w:lineRule="auto"/>
        <w:ind w:firstLine="2249" w:firstLineChars="700"/>
        <w:jc w:val="left"/>
        <w:rPr>
          <w:rFonts w:hint="eastAsia" w:ascii="宋体" w:hAnsi="宋体"/>
          <w:b/>
          <w:sz w:val="32"/>
          <w:szCs w:val="32"/>
        </w:rPr>
      </w:pPr>
    </w:p>
    <w:p>
      <w:pPr>
        <w:autoSpaceDE w:val="0"/>
        <w:autoSpaceDN w:val="0"/>
        <w:adjustRightInd w:val="0"/>
        <w:spacing w:line="360" w:lineRule="auto"/>
        <w:ind w:firstLine="2249" w:firstLineChars="700"/>
        <w:jc w:val="left"/>
        <w:rPr>
          <w:rFonts w:hint="eastAsia" w:ascii="宋体" w:hAnsi="宋体"/>
          <w:b/>
          <w:sz w:val="32"/>
          <w:szCs w:val="32"/>
        </w:rPr>
      </w:pPr>
      <w:bookmarkStart w:id="0" w:name="_GoBack"/>
      <w:bookmarkEnd w:id="0"/>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年度收入总计   </w:t>
      </w:r>
      <w:r>
        <w:rPr>
          <w:rFonts w:hint="eastAsia" w:ascii="仿宋" w:hAnsi="仿宋" w:eastAsia="仿宋"/>
          <w:sz w:val="30"/>
          <w:szCs w:val="30"/>
          <w:lang w:val="en-US" w:eastAsia="zh-CN"/>
        </w:rPr>
        <w:t>220</w:t>
      </w:r>
      <w:r>
        <w:rPr>
          <w:rFonts w:hint="eastAsia" w:ascii="仿宋" w:hAnsi="仿宋" w:eastAsia="仿宋"/>
          <w:sz w:val="30"/>
          <w:szCs w:val="30"/>
        </w:rPr>
        <w:t xml:space="preserve"> 万元，其中年初结转和结余  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rPr>
        <w:t xml:space="preserve"> </w:t>
      </w:r>
      <w:r>
        <w:rPr>
          <w:rFonts w:hint="eastAsia" w:ascii="仿宋" w:hAnsi="仿宋" w:eastAsia="仿宋"/>
          <w:sz w:val="30"/>
          <w:szCs w:val="30"/>
          <w:lang w:val="en-US" w:eastAsia="zh-CN"/>
        </w:rPr>
        <w:t>3.04</w:t>
      </w:r>
      <w:r>
        <w:rPr>
          <w:rFonts w:hint="eastAsia" w:ascii="仿宋" w:hAnsi="仿宋" w:eastAsia="仿宋"/>
          <w:sz w:val="30"/>
          <w:szCs w:val="30"/>
        </w:rPr>
        <w:t xml:space="preserve"> 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1.4</w:t>
      </w:r>
      <w:r>
        <w:rPr>
          <w:rFonts w:hint="eastAsia" w:ascii="仿宋" w:hAnsi="仿宋" w:eastAsia="仿宋"/>
          <w:sz w:val="30"/>
          <w:szCs w:val="30"/>
        </w:rPr>
        <w:t xml:space="preserve">%；本年收入合计 </w:t>
      </w:r>
      <w:r>
        <w:rPr>
          <w:rFonts w:hint="eastAsia" w:ascii="仿宋" w:hAnsi="仿宋" w:eastAsia="仿宋"/>
          <w:sz w:val="30"/>
          <w:szCs w:val="30"/>
          <w:lang w:val="en-US" w:eastAsia="zh-CN"/>
        </w:rPr>
        <w:t>220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3.04</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1.4</w:t>
      </w:r>
      <w:r>
        <w:rPr>
          <w:rFonts w:hint="eastAsia" w:ascii="仿宋" w:hAnsi="仿宋" w:eastAsia="仿宋"/>
          <w:sz w:val="30"/>
          <w:szCs w:val="30"/>
        </w:rPr>
        <w:t>%，主要原因是：</w:t>
      </w:r>
      <w:r>
        <w:rPr>
          <w:rFonts w:hint="eastAsia" w:ascii="仿宋" w:hAnsi="仿宋" w:eastAsia="仿宋"/>
          <w:sz w:val="30"/>
          <w:szCs w:val="30"/>
          <w:lang w:eastAsia="zh-CN"/>
        </w:rPr>
        <w:t>基本支出减少来源</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220</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 xml:space="preserve"> %；事业收入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年度支出总计  </w:t>
      </w:r>
      <w:r>
        <w:rPr>
          <w:rFonts w:hint="eastAsia" w:ascii="仿宋" w:hAnsi="仿宋" w:eastAsia="仿宋"/>
          <w:sz w:val="30"/>
          <w:szCs w:val="30"/>
          <w:lang w:val="en-US" w:eastAsia="zh-CN"/>
        </w:rPr>
        <w:t>220</w:t>
      </w:r>
      <w:r>
        <w:rPr>
          <w:rFonts w:hint="eastAsia" w:ascii="仿宋" w:hAnsi="仿宋" w:eastAsia="仿宋"/>
          <w:sz w:val="30"/>
          <w:szCs w:val="30"/>
        </w:rPr>
        <w:t xml:space="preserve">  万元，其中本年支出合计   </w:t>
      </w:r>
      <w:r>
        <w:rPr>
          <w:rFonts w:hint="eastAsia" w:ascii="仿宋" w:hAnsi="仿宋" w:eastAsia="仿宋"/>
          <w:sz w:val="30"/>
          <w:szCs w:val="30"/>
          <w:lang w:val="en-US" w:eastAsia="zh-CN"/>
        </w:rPr>
        <w:t>216.15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3.04</w:t>
      </w:r>
      <w:r>
        <w:rPr>
          <w:rFonts w:hint="eastAsia" w:ascii="仿宋" w:hAnsi="仿宋" w:eastAsia="仿宋"/>
          <w:sz w:val="30"/>
          <w:szCs w:val="30"/>
        </w:rPr>
        <w:t xml:space="preserve">万元，下降 </w:t>
      </w:r>
      <w:r>
        <w:rPr>
          <w:rFonts w:hint="eastAsia" w:ascii="仿宋" w:hAnsi="仿宋" w:eastAsia="仿宋"/>
          <w:sz w:val="30"/>
          <w:szCs w:val="30"/>
          <w:lang w:val="en-US" w:eastAsia="zh-CN"/>
        </w:rPr>
        <w:t>1.4</w:t>
      </w:r>
      <w:r>
        <w:rPr>
          <w:rFonts w:hint="eastAsia" w:ascii="仿宋" w:hAnsi="仿宋" w:eastAsia="仿宋"/>
          <w:sz w:val="30"/>
          <w:szCs w:val="30"/>
        </w:rPr>
        <w:t xml:space="preserve"> %，主要原因是：</w:t>
      </w:r>
      <w:r>
        <w:rPr>
          <w:rFonts w:hint="eastAsia" w:ascii="仿宋" w:hAnsi="仿宋" w:eastAsia="仿宋"/>
          <w:sz w:val="30"/>
          <w:szCs w:val="30"/>
          <w:lang w:eastAsia="zh-CN"/>
        </w:rPr>
        <w:t>基本支出减少来源</w:t>
      </w:r>
      <w:r>
        <w:rPr>
          <w:rFonts w:hint="eastAsia" w:ascii="仿宋" w:hAnsi="仿宋" w:eastAsia="仿宋"/>
          <w:sz w:val="30"/>
          <w:szCs w:val="30"/>
        </w:rPr>
        <w:t xml:space="preserve">；年末结转和结余 </w:t>
      </w:r>
      <w:r>
        <w:rPr>
          <w:rFonts w:hint="eastAsia" w:ascii="仿宋" w:hAnsi="仿宋" w:eastAsia="仿宋"/>
          <w:sz w:val="30"/>
          <w:szCs w:val="30"/>
          <w:lang w:val="en-US" w:eastAsia="zh-CN"/>
        </w:rPr>
        <w:t>3.85</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 </w:t>
      </w:r>
      <w:r>
        <w:rPr>
          <w:rFonts w:hint="eastAsia" w:ascii="仿宋" w:hAnsi="仿宋" w:eastAsia="仿宋"/>
          <w:sz w:val="30"/>
          <w:szCs w:val="30"/>
          <w:lang w:val="en-US" w:eastAsia="zh-CN"/>
        </w:rPr>
        <w:t>3.85</w:t>
      </w:r>
      <w:r>
        <w:rPr>
          <w:rFonts w:hint="eastAsia" w:ascii="仿宋" w:hAnsi="仿宋" w:eastAsia="仿宋"/>
          <w:sz w:val="30"/>
          <w:szCs w:val="30"/>
        </w:rPr>
        <w:t xml:space="preserve"> 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有些经费支出年底未拨付</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本年支出的具体构成为：基本支出  </w:t>
      </w:r>
      <w:r>
        <w:rPr>
          <w:rFonts w:hint="eastAsia" w:ascii="仿宋" w:hAnsi="仿宋" w:eastAsia="仿宋"/>
          <w:sz w:val="30"/>
          <w:szCs w:val="30"/>
          <w:lang w:val="en-US" w:eastAsia="zh-CN"/>
        </w:rPr>
        <w:t>220</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 xml:space="preserve"> %；项目支出   </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%；其他支出（对附属单位补助支出、上缴上级支出）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年度财政拨款本年支出年初预算数为  </w:t>
      </w:r>
      <w:r>
        <w:rPr>
          <w:rFonts w:hint="eastAsia" w:ascii="仿宋" w:hAnsi="仿宋" w:eastAsia="仿宋"/>
          <w:sz w:val="30"/>
          <w:szCs w:val="30"/>
          <w:lang w:val="en-US" w:eastAsia="zh-CN"/>
        </w:rPr>
        <w:t>220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216.15</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98</w:t>
      </w:r>
      <w:r>
        <w:rPr>
          <w:rFonts w:hint="eastAsia" w:ascii="仿宋" w:hAnsi="仿宋" w:eastAsia="仿宋"/>
          <w:sz w:val="30"/>
          <w:szCs w:val="30"/>
        </w:rPr>
        <w:t xml:space="preserve"> %。其中：</w:t>
      </w:r>
    </w:p>
    <w:p>
      <w:pPr>
        <w:numPr>
          <w:ilvl w:val="0"/>
          <w:numId w:val="1"/>
        </w:numPr>
        <w:ind w:firstLine="630"/>
        <w:jc w:val="left"/>
        <w:rPr>
          <w:rFonts w:hint="eastAsia" w:ascii="仿宋" w:hAnsi="仿宋" w:eastAsia="仿宋"/>
          <w:sz w:val="30"/>
          <w:szCs w:val="30"/>
          <w:highlight w:val="none"/>
          <w:lang w:eastAsia="zh-CN"/>
        </w:rPr>
      </w:pPr>
      <w:r>
        <w:rPr>
          <w:rFonts w:hint="eastAsia" w:ascii="仿宋" w:hAnsi="仿宋" w:eastAsia="仿宋"/>
          <w:sz w:val="30"/>
          <w:szCs w:val="30"/>
          <w:highlight w:val="none"/>
        </w:rPr>
        <w:t xml:space="preserve">一般公共服务支出年初预算数为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万元，决算数为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万元，完成年初预算的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%，主要原因是：</w:t>
      </w:r>
      <w:r>
        <w:rPr>
          <w:rFonts w:hint="eastAsia" w:ascii="仿宋" w:hAnsi="仿宋" w:eastAsia="仿宋"/>
          <w:sz w:val="30"/>
          <w:szCs w:val="30"/>
          <w:highlight w:val="none"/>
          <w:lang w:eastAsia="zh-CN"/>
        </w:rPr>
        <w:t>无。</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lang w:val="en-US" w:eastAsia="zh-CN"/>
        </w:rPr>
        <w:t>城乡社区支出220万元，完成年初预算的100%</w:t>
      </w:r>
      <w:r>
        <w:rPr>
          <w:rFonts w:hint="eastAsia" w:ascii="仿宋" w:hAnsi="仿宋" w:eastAsia="仿宋"/>
          <w:sz w:val="30"/>
          <w:szCs w:val="30"/>
        </w:rPr>
        <w:t>。</w:t>
      </w:r>
      <w:r>
        <w:rPr>
          <w:rFonts w:hint="eastAsia" w:ascii="仿宋" w:hAnsi="仿宋" w:eastAsia="仿宋"/>
          <w:sz w:val="30"/>
          <w:szCs w:val="30"/>
          <w:lang w:eastAsia="zh-CN"/>
        </w:rPr>
        <w:t>主要原因：按功能分类属于此科目。</w:t>
      </w:r>
    </w:p>
    <w:p>
      <w:pPr>
        <w:ind w:firstLine="630"/>
        <w:jc w:val="left"/>
        <w:rPr>
          <w:rFonts w:hint="eastAsia" w:ascii="仿宋" w:hAnsi="仿宋" w:eastAsia="仿宋"/>
          <w:sz w:val="30"/>
          <w:szCs w:val="30"/>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三</w:t>
      </w:r>
      <w:r>
        <w:rPr>
          <w:rFonts w:hint="eastAsia" w:ascii="仿宋" w:hAnsi="仿宋" w:eastAsia="仿宋"/>
          <w:sz w:val="30"/>
          <w:szCs w:val="30"/>
          <w:highlight w:val="none"/>
        </w:rPr>
        <w:t xml:space="preserve">）公共安全支出年初预算数为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万元，决算数为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万元，完成年初预算的 </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 xml:space="preserve"> %，主要原因是：</w:t>
      </w:r>
      <w:r>
        <w:rPr>
          <w:rFonts w:hint="eastAsia" w:ascii="仿宋" w:hAnsi="仿宋" w:eastAsia="仿宋"/>
          <w:sz w:val="30"/>
          <w:szCs w:val="30"/>
          <w:highlight w:val="none"/>
          <w:lang w:eastAsia="zh-CN"/>
        </w:rPr>
        <w:t>无</w:t>
      </w:r>
      <w:r>
        <w:rPr>
          <w:rFonts w:hint="eastAsia" w:ascii="仿宋" w:hAnsi="仿宋" w:eastAsia="仿宋"/>
          <w:sz w:val="30"/>
          <w:szCs w:val="30"/>
          <w:highlight w:val="none"/>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年度一般公共预算财政拨款基本支出 </w:t>
      </w:r>
      <w:r>
        <w:rPr>
          <w:rFonts w:hint="eastAsia" w:ascii="仿宋" w:hAnsi="仿宋" w:eastAsia="仿宋"/>
          <w:sz w:val="30"/>
          <w:szCs w:val="30"/>
          <w:lang w:val="en-US" w:eastAsia="zh-CN"/>
        </w:rPr>
        <w:t>216.15</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 xml:space="preserve">（一）工资福利支出 </w:t>
      </w:r>
      <w:r>
        <w:rPr>
          <w:rFonts w:hint="eastAsia" w:ascii="仿宋" w:hAnsi="仿宋" w:eastAsia="仿宋"/>
          <w:sz w:val="30"/>
          <w:szCs w:val="30"/>
          <w:lang w:val="en-US" w:eastAsia="zh-CN"/>
        </w:rPr>
        <w:t>214.05</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 </w:t>
      </w:r>
      <w:r>
        <w:rPr>
          <w:rFonts w:hint="eastAsia" w:ascii="仿宋" w:hAnsi="仿宋" w:eastAsia="仿宋"/>
          <w:sz w:val="30"/>
          <w:szCs w:val="30"/>
          <w:lang w:val="en-US" w:eastAsia="zh-CN"/>
        </w:rPr>
        <w:t>25.04</w:t>
      </w:r>
      <w:r>
        <w:rPr>
          <w:rFonts w:hint="eastAsia" w:ascii="仿宋" w:hAnsi="仿宋" w:eastAsia="仿宋"/>
          <w:sz w:val="30"/>
          <w:szCs w:val="30"/>
        </w:rPr>
        <w:t>万元，增长</w:t>
      </w:r>
      <w:r>
        <w:rPr>
          <w:rFonts w:hint="eastAsia" w:ascii="仿宋" w:hAnsi="仿宋" w:eastAsia="仿宋"/>
          <w:sz w:val="30"/>
          <w:szCs w:val="30"/>
          <w:lang w:val="en-US" w:eastAsia="zh-CN"/>
        </w:rPr>
        <w:t>13</w:t>
      </w:r>
      <w:r>
        <w:rPr>
          <w:rFonts w:hint="eastAsia" w:ascii="仿宋" w:hAnsi="仿宋" w:eastAsia="仿宋"/>
          <w:sz w:val="30"/>
          <w:szCs w:val="30"/>
        </w:rPr>
        <w:t>%，主要原因是：</w:t>
      </w:r>
      <w:r>
        <w:rPr>
          <w:rFonts w:hint="eastAsia" w:ascii="仿宋" w:hAnsi="仿宋" w:eastAsia="仿宋"/>
          <w:sz w:val="30"/>
          <w:szCs w:val="30"/>
          <w:lang w:eastAsia="zh-CN"/>
        </w:rPr>
        <w:t>增加了基本工资</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（二）商品和服务支出 </w:t>
      </w:r>
      <w:r>
        <w:rPr>
          <w:rFonts w:hint="eastAsia" w:ascii="仿宋" w:hAnsi="仿宋" w:eastAsia="仿宋"/>
          <w:sz w:val="30"/>
          <w:szCs w:val="30"/>
          <w:lang w:val="en-US" w:eastAsia="zh-CN"/>
        </w:rPr>
        <w:t>2.1</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31.93</w:t>
      </w:r>
      <w:r>
        <w:rPr>
          <w:rFonts w:hint="eastAsia" w:ascii="仿宋" w:hAnsi="仿宋" w:eastAsia="仿宋"/>
          <w:sz w:val="30"/>
          <w:szCs w:val="30"/>
        </w:rPr>
        <w:t>万元，下降</w:t>
      </w:r>
      <w:r>
        <w:rPr>
          <w:rFonts w:hint="eastAsia" w:ascii="仿宋" w:hAnsi="仿宋" w:eastAsia="仿宋"/>
          <w:sz w:val="30"/>
          <w:szCs w:val="30"/>
          <w:lang w:val="en-US" w:eastAsia="zh-CN"/>
        </w:rPr>
        <w:t>94</w:t>
      </w:r>
      <w:r>
        <w:rPr>
          <w:rFonts w:hint="eastAsia" w:ascii="仿宋" w:hAnsi="仿宋" w:eastAsia="仿宋"/>
          <w:sz w:val="30"/>
          <w:szCs w:val="30"/>
        </w:rPr>
        <w:t>%，主要原因是：</w:t>
      </w:r>
      <w:r>
        <w:rPr>
          <w:rFonts w:hint="eastAsia" w:ascii="仿宋" w:hAnsi="仿宋" w:eastAsia="仿宋"/>
          <w:sz w:val="30"/>
          <w:szCs w:val="30"/>
          <w:lang w:eastAsia="zh-CN"/>
        </w:rPr>
        <w:t>商品和服务支出减少，人员工资增加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没有发放各种政府性奖励资金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年度一般公共预算财政拨款“三公”经费支出年初预算数为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（一）因公出国（境）</w:t>
      </w:r>
      <w:r>
        <w:rPr>
          <w:rFonts w:hint="eastAsia" w:ascii="仿宋" w:hAnsi="仿宋" w:eastAsia="仿宋"/>
          <w:sz w:val="30"/>
          <w:szCs w:val="30"/>
          <w:lang w:eastAsia="zh-CN"/>
        </w:rPr>
        <w:t>团组数为</w:t>
      </w:r>
      <w:r>
        <w:rPr>
          <w:rFonts w:hint="eastAsia" w:ascii="仿宋" w:hAnsi="仿宋" w:eastAsia="仿宋"/>
          <w:sz w:val="30"/>
          <w:szCs w:val="30"/>
          <w:lang w:val="en-US" w:eastAsia="zh-CN"/>
        </w:rPr>
        <w:t xml:space="preserve">  0 个，因公出国（境）人次数  0人。</w:t>
      </w:r>
      <w:r>
        <w:rPr>
          <w:rFonts w:hint="eastAsia" w:ascii="仿宋" w:hAnsi="仿宋" w:eastAsia="仿宋"/>
          <w:sz w:val="30"/>
          <w:szCs w:val="30"/>
        </w:rPr>
        <w:t xml:space="preserve">因公出国（境）支出年初预算数为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没有安排出国经费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国内公务接待批次为</w:t>
      </w:r>
      <w:r>
        <w:rPr>
          <w:rFonts w:hint="eastAsia" w:ascii="仿宋" w:hAnsi="仿宋" w:eastAsia="仿宋"/>
          <w:sz w:val="30"/>
          <w:szCs w:val="30"/>
          <w:lang w:val="en-US" w:eastAsia="zh-CN"/>
        </w:rPr>
        <w:t xml:space="preserve">  0 个，国内接待人次为  0人。</w:t>
      </w:r>
      <w:r>
        <w:rPr>
          <w:rFonts w:hint="eastAsia" w:ascii="仿宋" w:hAnsi="仿宋" w:eastAsia="仿宋"/>
          <w:sz w:val="30"/>
          <w:szCs w:val="30"/>
        </w:rPr>
        <w:t xml:space="preserve">公务接待费支出年初预算数为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财政统筹安排规划大队的运行经费，经费中没有安排公务接待费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w:t>
      </w:r>
      <w:r>
        <w:rPr>
          <w:rFonts w:hint="eastAsia" w:ascii="仿宋" w:hAnsi="仿宋" w:eastAsia="仿宋"/>
          <w:sz w:val="30"/>
          <w:szCs w:val="30"/>
          <w:lang w:eastAsia="zh-CN"/>
        </w:rPr>
        <w:t>公务用车购置数为</w:t>
      </w:r>
      <w:r>
        <w:rPr>
          <w:rFonts w:hint="eastAsia" w:ascii="仿宋" w:hAnsi="仿宋" w:eastAsia="仿宋"/>
          <w:sz w:val="30"/>
          <w:szCs w:val="30"/>
          <w:lang w:val="en-US" w:eastAsia="zh-CN"/>
        </w:rPr>
        <w:t xml:space="preserve"> 0 辆，公务用车保有量为 0  辆。</w:t>
      </w:r>
      <w:r>
        <w:rPr>
          <w:rFonts w:hint="eastAsia" w:ascii="仿宋" w:hAnsi="仿宋" w:eastAsia="仿宋"/>
          <w:sz w:val="30"/>
          <w:szCs w:val="30"/>
        </w:rPr>
        <w:t xml:space="preserve">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无购置</w:t>
      </w:r>
      <w:r>
        <w:rPr>
          <w:rFonts w:hint="eastAsia" w:ascii="仿宋" w:hAnsi="仿宋" w:eastAsia="仿宋"/>
          <w:sz w:val="30"/>
          <w:szCs w:val="30"/>
        </w:rPr>
        <w:t xml:space="preserve">；公务用车运行维护费支出年初预算数为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无公车</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2.1</w:t>
      </w:r>
      <w:r>
        <w:rPr>
          <w:rFonts w:hint="eastAsia" w:ascii="仿宋" w:hAnsi="仿宋" w:eastAsia="仿宋"/>
          <w:sz w:val="30"/>
          <w:szCs w:val="30"/>
        </w:rPr>
        <w:t xml:space="preserve"> 万元，较年初预算数增加（减少）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万元，增长（降低） </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调整商品和服务支出减少，人员工资增加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0</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万元。授予中小企业合同金额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个，共涉及资金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万元，占一般公共预算项目支出总额的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从评价情况来看，</w:t>
      </w:r>
      <w:r>
        <w:rPr>
          <w:rFonts w:hint="eastAsia" w:ascii="仿宋" w:hAnsi="仿宋" w:eastAsia="仿宋" w:cs="仿宋_GB2312"/>
          <w:kern w:val="0"/>
          <w:sz w:val="30"/>
          <w:szCs w:val="30"/>
          <w:lang w:eastAsia="zh-CN"/>
        </w:rPr>
        <w:t>总体情况良好。接下来我单位将根据评价结果进一步完善项目资金的使用和管理，同时完善预算绩效管理制度，保证管理质量，提高财政资金使用效益</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hint="eastAsia" w:ascii="仿宋" w:hAnsi="仿宋" w:eastAsia="仿宋" w:cs="仿宋_GB2312"/>
          <w:kern w:val="0"/>
          <w:sz w:val="30"/>
          <w:szCs w:val="30"/>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w:t>
      </w:r>
      <w:r>
        <w:rPr>
          <w:rFonts w:hint="eastAsia" w:ascii="仿宋" w:hAnsi="仿宋" w:eastAsia="仿宋"/>
          <w:kern w:val="0"/>
          <w:sz w:val="30"/>
          <w:szCs w:val="30"/>
          <w:highlight w:val="none"/>
        </w:rPr>
        <w:t xml:space="preserve"> </w:t>
      </w:r>
      <w:r>
        <w:rPr>
          <w:rFonts w:hint="default" w:ascii="仿宋" w:hAnsi="仿宋" w:eastAsia="仿宋"/>
          <w:kern w:val="0"/>
          <w:sz w:val="30"/>
          <w:szCs w:val="30"/>
          <w:highlight w:val="none"/>
        </w:rPr>
        <w:t>一、收入科目</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（一）财政拨款：指财政当年拨付的资金。</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（二）事业收入：指事业单位开展专业业务活动及辅助活动</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取得的收入。</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（三）事业单位经营收入：指事业单位在专业业务活动及辅</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助活动之外开展非独立核算经营活动取得的收入。</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（四）其他收入：指除财政拨款、事业收入、事业单位经营</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收入等以外的各项收入。</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（五）附属单位上缴收入：反映事业单位附属的独立核算单</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位按规定标准或比例缴纳的各项收入。包括附属的事业单位上缴的收入和附属的企业上缴的利润等。</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（六）上级补助收入：反映事业单位从主管部门和上级单位</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取得的非财政补助收入。</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（七）上年结转和结余：填列2018 年全部结转和结余的资</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金数，包括当年结转结余资金和历年滚存结转结余资金。</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二、支出科目</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（一）事业运行：反映事业单位的基本支出。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（二）其他财政事务支出：反映除上述项目以外的其他财政</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事务方面的支出。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（三）培训支出：反映各部门安排的用于培训的支出。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（四）机关事业单位基本养老保险缴费支出：反映机关事业单位实施养老保险制度由单位缴纳的基本养老保险费的支出。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(五）因公出国（境）费用：填列单位公务出国（境）的国际旅费、国外城市间交通费、住宿费、伙食费、培训费、公杂费等支出。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（六）公务接待费：填列单位按规定开支的各类公务接待（含外宾接待）费用。</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（七）公务用车运行维护费：填列单位按规定保留的公务用车燃料费、维修费、过桥过路费、保险费、安全奖励费用等支出。</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（八）其他交通费用：填列单位除公务用车运行维护费以外的其他交通费用。如公务交通补贴、租车费用等。</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（九）公务用车购置：填列公务用车购置支出（含车辆购置税、牌照费）。</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（十）其他交通工具购置：填列除公务用车外的其他各类交通工具购置支出（含车辆购置税、牌照费）。</w:t>
      </w:r>
      <w:r>
        <w:rPr>
          <w:rFonts w:hint="default" w:ascii="仿宋" w:hAnsi="仿宋" w:eastAsia="仿宋"/>
          <w:kern w:val="0"/>
          <w:sz w:val="30"/>
          <w:szCs w:val="30"/>
          <w:highlight w:val="none"/>
        </w:rPr>
        <w:br w:type="textWrapping"/>
      </w:r>
      <w:r>
        <w:rPr>
          <w:rFonts w:hint="default" w:ascii="仿宋" w:hAnsi="仿宋" w:eastAsia="仿宋"/>
          <w:kern w:val="0"/>
          <w:sz w:val="30"/>
          <w:szCs w:val="30"/>
          <w:highlight w:val="none"/>
        </w:rPr>
        <w:t>（十一）机关运行经费支出:与部门决算中行政单位和参照公务员法管理事业单位一般公共预算财政拨款基本支出中公用经费之和保持一致。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2010609060101010101"/>
    <w:charset w:val="00"/>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5C22"/>
    <w:multiLevelType w:val="singleLevel"/>
    <w:tmpl w:val="8F1A5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330C2"/>
    <w:rsid w:val="03671FF0"/>
    <w:rsid w:val="09C330C2"/>
    <w:rsid w:val="0FA415FC"/>
    <w:rsid w:val="138F26A8"/>
    <w:rsid w:val="27D4616A"/>
    <w:rsid w:val="2F5A015D"/>
    <w:rsid w:val="303C4B56"/>
    <w:rsid w:val="4E935D18"/>
    <w:rsid w:val="623B0048"/>
    <w:rsid w:val="6E9D3DC8"/>
    <w:rsid w:val="717B73D2"/>
    <w:rsid w:val="734011D1"/>
    <w:rsid w:val="75555CB6"/>
    <w:rsid w:val="7A09095A"/>
    <w:rsid w:val="C2F0A9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paragraph" w:customStyle="1" w:styleId="5">
    <w:name w:val="No Spacing"/>
    <w:qFormat/>
    <w:uiPriority w:val="0"/>
    <w:pPr>
      <w:ind w:firstLine="200" w:firstLineChars="200"/>
    </w:pPr>
    <w:rPr>
      <w:rFonts w:hint="default" w:ascii="Times New Roman" w:hAnsi="Times New Roman" w:eastAsia="仿宋_GB2312" w:cs="Times New Roman"/>
      <w:sz w:val="30"/>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2021-05-14T18:26:00Z</dcterms:created>
  <dc:creator>红枫之叶</dc:creator>
  <cp:lastModifiedBy>洗刷刷</cp:lastModifiedBy>
  <dcterms:modified xsi:type="dcterms:W3CDTF">2021-05-21T02:17:53Z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