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jc w:val="center"/>
        <w:textAlignment w:val="auto"/>
        <w:rPr>
          <w:rFonts w:hint="default" w:ascii="Times New Roman" w:hAnsi="Times New Roman" w:eastAsia="方正小标宋_GBK" w:cs="Times New Roman"/>
          <w:b w:val="0"/>
          <w:bCs/>
          <w:i w:val="0"/>
          <w:caps w:val="0"/>
          <w:color w:val="333333"/>
          <w:spacing w:val="0"/>
          <w:sz w:val="44"/>
          <w:szCs w:val="44"/>
        </w:rPr>
      </w:pPr>
      <w:r>
        <w:rPr>
          <w:rFonts w:hint="eastAsia" w:ascii="Times New Roman" w:hAnsi="Times New Roman" w:eastAsia="方正小标宋_GBK" w:cs="Times New Roman"/>
          <w:b w:val="0"/>
          <w:bCs/>
          <w:i w:val="0"/>
          <w:caps w:val="0"/>
          <w:color w:val="333333"/>
          <w:spacing w:val="0"/>
          <w:sz w:val="44"/>
          <w:szCs w:val="44"/>
          <w:shd w:val="clear" w:fill="FFFFFF"/>
          <w:lang w:val="en-US" w:eastAsia="zh-CN"/>
        </w:rPr>
        <w:t>上饶市弋阳生态环境局</w:t>
      </w:r>
      <w:r>
        <w:rPr>
          <w:rFonts w:hint="default" w:ascii="Times New Roman" w:hAnsi="Times New Roman" w:eastAsia="方正小标宋_GBK" w:cs="Times New Roman"/>
          <w:b w:val="0"/>
          <w:bCs/>
          <w:i w:val="0"/>
          <w:caps w:val="0"/>
          <w:color w:val="333333"/>
          <w:spacing w:val="0"/>
          <w:sz w:val="44"/>
          <w:szCs w:val="44"/>
          <w:shd w:val="clear" w:fill="FFFFFF"/>
          <w:lang w:val="en-US" w:eastAsia="zh-CN"/>
        </w:rPr>
        <w:t>202</w:t>
      </w:r>
      <w:r>
        <w:rPr>
          <w:rFonts w:hint="eastAsia" w:ascii="Times New Roman" w:hAnsi="Times New Roman" w:eastAsia="方正小标宋_GBK" w:cs="Times New Roman"/>
          <w:b w:val="0"/>
          <w:bCs/>
          <w:i w:val="0"/>
          <w:caps w:val="0"/>
          <w:color w:val="333333"/>
          <w:spacing w:val="0"/>
          <w:sz w:val="44"/>
          <w:szCs w:val="44"/>
          <w:shd w:val="clear" w:fill="FFFFFF"/>
          <w:lang w:val="en-US" w:eastAsia="zh-CN"/>
        </w:rPr>
        <w:t>0</w:t>
      </w:r>
      <w:r>
        <w:rPr>
          <w:rFonts w:hint="default" w:ascii="Times New Roman" w:hAnsi="Times New Roman" w:eastAsia="方正小标宋_GBK" w:cs="Times New Roman"/>
          <w:b w:val="0"/>
          <w:bCs/>
          <w:i w:val="0"/>
          <w:caps w:val="0"/>
          <w:color w:val="333333"/>
          <w:spacing w:val="0"/>
          <w:sz w:val="44"/>
          <w:szCs w:val="44"/>
          <w:shd w:val="clear" w:fill="FFFFFF"/>
          <w:lang w:val="en-US" w:eastAsia="zh-CN"/>
        </w:rPr>
        <w:t>年</w:t>
      </w:r>
      <w:r>
        <w:rPr>
          <w:rFonts w:hint="default" w:ascii="Times New Roman" w:hAnsi="Times New Roman" w:eastAsia="方正小标宋_GBK" w:cs="Times New Roman"/>
          <w:b w:val="0"/>
          <w:bCs/>
          <w:i w:val="0"/>
          <w:caps w:val="0"/>
          <w:color w:val="333333"/>
          <w:spacing w:val="0"/>
          <w:sz w:val="44"/>
          <w:szCs w:val="44"/>
          <w:shd w:val="clear" w:fill="FFFFFF"/>
        </w:rPr>
        <w:t>信息公开年度报告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both"/>
        <w:textAlignment w:val="auto"/>
        <w:rPr>
          <w:rFonts w:hint="default" w:ascii="Times New Roman" w:hAnsi="Times New Roman" w:eastAsia="宋体" w:cs="Times New Roman"/>
          <w:i w:val="0"/>
          <w:caps w:val="0"/>
          <w:color w:val="333333"/>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lang w:eastAsia="zh-CN"/>
        </w:rPr>
        <w:t>根据《中 华 人 民 共 和 国 政 府 信 息 公 开 条 例》（以下简称《条例》）、</w:t>
      </w:r>
      <w:r>
        <w:rPr>
          <w:rFonts w:hint="eastAsia" w:ascii="仿宋_GB2312" w:hAnsi="仿宋_GB2312" w:eastAsia="仿宋_GB2312" w:cs="仿宋_GB2312"/>
          <w:i w:val="0"/>
          <w:caps w:val="0"/>
          <w:color w:val="333333"/>
          <w:spacing w:val="0"/>
          <w:kern w:val="0"/>
          <w:sz w:val="32"/>
          <w:szCs w:val="32"/>
          <w:shd w:val="clear" w:fill="FFFFFF"/>
          <w:lang w:val="en-US" w:eastAsia="zh-CN" w:bidi="ar"/>
        </w:rPr>
        <w:t>《江西省人民政府政务公开办公室关于印发江西省政府信息依申请公开工作规范的通知》（赣府公开办函〔2020〕1号）</w:t>
      </w:r>
      <w:r>
        <w:rPr>
          <w:rFonts w:hint="eastAsia" w:ascii="仿宋_GB2312" w:hAnsi="仿宋_GB2312" w:eastAsia="仿宋_GB2312" w:cs="仿宋_GB2312"/>
          <w:i w:val="0"/>
          <w:caps w:val="0"/>
          <w:color w:val="333333"/>
          <w:spacing w:val="0"/>
          <w:sz w:val="32"/>
          <w:szCs w:val="32"/>
          <w:shd w:val="clear" w:fill="FFFFFF"/>
          <w:lang w:val="en-US" w:eastAsia="zh-CN"/>
        </w:rPr>
        <w:t>等文件</w:t>
      </w:r>
      <w:r>
        <w:rPr>
          <w:rFonts w:hint="eastAsia" w:ascii="仿宋_GB2312" w:hAnsi="仿宋_GB2312" w:eastAsia="仿宋_GB2312" w:cs="仿宋_GB2312"/>
          <w:i w:val="0"/>
          <w:caps w:val="0"/>
          <w:color w:val="333333"/>
          <w:spacing w:val="0"/>
          <w:sz w:val="32"/>
          <w:szCs w:val="32"/>
          <w:lang w:eastAsia="zh-CN"/>
        </w:rPr>
        <w:t>要求，为了全面反映弋阳</w:t>
      </w:r>
      <w:r>
        <w:rPr>
          <w:rFonts w:hint="eastAsia" w:ascii="仿宋_GB2312" w:hAnsi="仿宋_GB2312" w:eastAsia="仿宋_GB2312" w:cs="仿宋_GB2312"/>
          <w:i w:val="0"/>
          <w:caps w:val="0"/>
          <w:color w:val="333333"/>
          <w:spacing w:val="0"/>
          <w:sz w:val="32"/>
          <w:szCs w:val="32"/>
          <w:lang w:val="en-US" w:eastAsia="zh-CN"/>
        </w:rPr>
        <w:t>生态环境局</w:t>
      </w:r>
      <w:r>
        <w:rPr>
          <w:rFonts w:hint="eastAsia" w:ascii="仿宋_GB2312" w:hAnsi="仿宋_GB2312" w:eastAsia="仿宋_GB2312" w:cs="仿宋_GB2312"/>
          <w:i w:val="0"/>
          <w:caps w:val="0"/>
          <w:color w:val="333333"/>
          <w:spacing w:val="0"/>
          <w:sz w:val="32"/>
          <w:szCs w:val="32"/>
          <w:lang w:eastAsia="zh-CN"/>
        </w:rPr>
        <w:t>信息公开工作情况，结合</w:t>
      </w:r>
      <w:r>
        <w:rPr>
          <w:rFonts w:hint="eastAsia" w:ascii="仿宋_GB2312" w:hAnsi="仿宋_GB2312" w:eastAsia="仿宋_GB2312" w:cs="仿宋_GB2312"/>
          <w:i w:val="0"/>
          <w:caps w:val="0"/>
          <w:color w:val="333333"/>
          <w:spacing w:val="0"/>
          <w:sz w:val="32"/>
          <w:szCs w:val="32"/>
          <w:lang w:val="en-US" w:eastAsia="zh-CN"/>
        </w:rPr>
        <w:t>我局</w:t>
      </w:r>
      <w:r>
        <w:rPr>
          <w:rFonts w:hint="eastAsia" w:ascii="仿宋_GB2312" w:hAnsi="仿宋_GB2312" w:eastAsia="仿宋_GB2312" w:cs="仿宋_GB2312"/>
          <w:i w:val="0"/>
          <w:caps w:val="0"/>
          <w:color w:val="333333"/>
          <w:spacing w:val="0"/>
          <w:sz w:val="32"/>
          <w:szCs w:val="32"/>
          <w:lang w:eastAsia="zh-CN"/>
        </w:rPr>
        <w:t>实际，</w:t>
      </w:r>
      <w:r>
        <w:rPr>
          <w:rFonts w:hint="eastAsia" w:ascii="仿宋_GB2312" w:hAnsi="仿宋_GB2312" w:eastAsia="仿宋_GB2312" w:cs="仿宋_GB2312"/>
          <w:i w:val="0"/>
          <w:caps w:val="0"/>
          <w:color w:val="333333"/>
          <w:spacing w:val="0"/>
          <w:sz w:val="32"/>
          <w:szCs w:val="32"/>
          <w:lang w:val="en-US" w:eastAsia="zh-CN"/>
        </w:rPr>
        <w:t>起草了2020年</w:t>
      </w:r>
      <w:r>
        <w:rPr>
          <w:rFonts w:hint="eastAsia" w:ascii="仿宋_GB2312" w:hAnsi="仿宋_GB2312" w:eastAsia="仿宋_GB2312" w:cs="仿宋_GB2312"/>
          <w:i w:val="0"/>
          <w:caps w:val="0"/>
          <w:color w:val="333333"/>
          <w:spacing w:val="0"/>
          <w:sz w:val="32"/>
          <w:szCs w:val="32"/>
          <w:lang w:eastAsia="zh-CN"/>
        </w:rPr>
        <w:t>弋阳</w:t>
      </w:r>
      <w:r>
        <w:rPr>
          <w:rFonts w:hint="eastAsia" w:ascii="仿宋_GB2312" w:hAnsi="仿宋_GB2312" w:eastAsia="仿宋_GB2312" w:cs="仿宋_GB2312"/>
          <w:i w:val="0"/>
          <w:caps w:val="0"/>
          <w:color w:val="333333"/>
          <w:spacing w:val="0"/>
          <w:sz w:val="32"/>
          <w:szCs w:val="32"/>
          <w:lang w:val="en-US" w:eastAsia="zh-CN"/>
        </w:rPr>
        <w:t>生态环境局信息公开年度报告，报告内容主要包括主动公开、依申请公开、政府信息管理、政府信息公开平台建设、监督保障、其他需要报告的事项等部分，对本报告如有疑问，可与上饶市弋阳生态环境局办公室联系（地址：江西省上饶市弋阳县方志敏大道中路7号，电话：0793-5882408）</w:t>
      </w:r>
      <w:r>
        <w:rPr>
          <w:rFonts w:hint="eastAsia" w:ascii="仿宋_GB2312" w:hAnsi="仿宋_GB2312" w:eastAsia="仿宋_GB2312" w:cs="仿宋_GB2312"/>
          <w:i w:val="0"/>
          <w:caps w:val="0"/>
          <w:color w:val="333333"/>
          <w:spacing w:val="0"/>
          <w:sz w:val="32"/>
          <w:szCs w:val="32"/>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3" w:firstLineChars="200"/>
        <w:jc w:val="both"/>
        <w:textAlignment w:val="auto"/>
        <w:outlineLvl w:val="0"/>
        <w:rPr>
          <w:rFonts w:hint="eastAsia" w:ascii="黑体" w:hAnsi="黑体" w:eastAsia="黑体" w:cs="黑体"/>
          <w:b/>
          <w:bCs w:val="0"/>
          <w:i w:val="0"/>
          <w:caps w:val="0"/>
          <w:color w:val="333333"/>
          <w:spacing w:val="0"/>
          <w:sz w:val="32"/>
          <w:szCs w:val="32"/>
          <w:shd w:val="clear" w:fill="FFFFFF"/>
        </w:rPr>
      </w:pPr>
      <w:r>
        <w:rPr>
          <w:rFonts w:hint="eastAsia" w:ascii="黑体" w:hAnsi="黑体" w:eastAsia="黑体" w:cs="黑体"/>
          <w:b/>
          <w:bCs w:val="0"/>
          <w:i w:val="0"/>
          <w:caps w:val="0"/>
          <w:color w:val="333333"/>
          <w:spacing w:val="0"/>
          <w:sz w:val="32"/>
          <w:szCs w:val="32"/>
          <w:shd w:val="clear" w:fill="FFFFFF"/>
          <w:lang w:eastAsia="zh-CN"/>
        </w:rPr>
        <w:t>一、</w:t>
      </w:r>
      <w:r>
        <w:rPr>
          <w:rFonts w:hint="eastAsia" w:ascii="黑体" w:hAnsi="黑体" w:eastAsia="黑体" w:cs="黑体"/>
          <w:b/>
          <w:bCs w:val="0"/>
          <w:i w:val="0"/>
          <w:caps w:val="0"/>
          <w:color w:val="333333"/>
          <w:spacing w:val="0"/>
          <w:sz w:val="32"/>
          <w:szCs w:val="32"/>
          <w:shd w:val="clear" w:fill="FFFFFF"/>
        </w:rPr>
        <w:t>总体情况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lang w:val="en-US" w:eastAsia="zh-CN"/>
        </w:rPr>
        <w:t>2020年，弋阳生态环境局始终坚持以习近平新时代中国特色社会主义思想为统领，以习近平生态文明思想为指导，认真落实党中央、国务院及省、市、县关于政务公开工作的决策部署，围绕本年度政务公开工作任务，积极开展各类政务公开工作，确保了信息公开及时、精准，政策解读高效、规范，政务公开工作有了成效显著。</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3" w:firstLineChars="200"/>
        <w:jc w:val="both"/>
        <w:textAlignment w:val="auto"/>
        <w:outlineLvl w:val="1"/>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w:t>
      </w:r>
      <w:r>
        <w:rPr>
          <w:rFonts w:hint="eastAsia" w:ascii="楷体_GB2312" w:hAnsi="楷体_GB2312" w:eastAsia="楷体_GB2312" w:cs="楷体_GB2312"/>
          <w:b/>
          <w:bCs/>
          <w:i w:val="0"/>
          <w:caps w:val="0"/>
          <w:color w:val="333333"/>
          <w:spacing w:val="0"/>
          <w:sz w:val="32"/>
          <w:szCs w:val="32"/>
          <w:shd w:val="clear" w:fill="FFFFFF"/>
          <w:lang w:val="en-US" w:eastAsia="zh-CN"/>
        </w:rPr>
        <w:t>一</w:t>
      </w:r>
      <w:r>
        <w:rPr>
          <w:rFonts w:hint="eastAsia" w:ascii="楷体_GB2312" w:hAnsi="楷体_GB2312" w:eastAsia="楷体_GB2312" w:cs="楷体_GB2312"/>
          <w:b/>
          <w:bCs/>
          <w:i w:val="0"/>
          <w:caps w:val="0"/>
          <w:color w:val="333333"/>
          <w:spacing w:val="0"/>
          <w:sz w:val="32"/>
          <w:szCs w:val="32"/>
          <w:shd w:val="clear" w:fill="FFFFFF"/>
          <w:lang w:eastAsia="zh-CN"/>
        </w:rPr>
        <w:t>）主动公开情况</w:t>
      </w:r>
    </w:p>
    <w:p>
      <w:pPr>
        <w:keepNext w:val="0"/>
        <w:keepLines w:val="0"/>
        <w:widowControl/>
        <w:suppressLineNumbers w:val="0"/>
        <w:ind w:firstLine="640" w:firstLineChars="200"/>
        <w:jc w:val="left"/>
        <w:rPr>
          <w:rFonts w:hint="default" w:ascii="楷体_GB2312" w:hAnsi="楷体_GB2312" w:eastAsia="楷体_GB2312" w:cs="楷体_GB2312"/>
          <w:b/>
          <w:bCs/>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近年来，局班子高度重视政府信息公开工作，将政府信息公开工作摆在突出位置，并成立了宣教中心，专职负责信息公开工作，通过弋阳县人民政府门户网站、微信公众号等媒体渠道准确及时公开。</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2020年，弋阳生态环境局在县人民政府门户网站主动公开发布和更新环境保护信息50条，其他信息0条，解读回应1条，财经信息3条，发展规划1条，政策法规5条，政务动态74条。</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3" w:firstLineChars="200"/>
        <w:jc w:val="both"/>
        <w:textAlignment w:val="auto"/>
        <w:outlineLvl w:val="1"/>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w:t>
      </w:r>
      <w:r>
        <w:rPr>
          <w:rFonts w:hint="eastAsia" w:ascii="楷体_GB2312" w:hAnsi="楷体_GB2312" w:eastAsia="楷体_GB2312" w:cs="楷体_GB2312"/>
          <w:b/>
          <w:bCs/>
          <w:i w:val="0"/>
          <w:caps w:val="0"/>
          <w:color w:val="333333"/>
          <w:spacing w:val="0"/>
          <w:sz w:val="32"/>
          <w:szCs w:val="32"/>
          <w:shd w:val="clear" w:fill="FFFFFF"/>
          <w:lang w:val="en-US" w:eastAsia="zh-CN"/>
        </w:rPr>
        <w:t>二</w:t>
      </w:r>
      <w:r>
        <w:rPr>
          <w:rFonts w:hint="eastAsia" w:ascii="楷体_GB2312" w:hAnsi="楷体_GB2312" w:eastAsia="楷体_GB2312" w:cs="楷体_GB2312"/>
          <w:b/>
          <w:bCs/>
          <w:i w:val="0"/>
          <w:caps w:val="0"/>
          <w:color w:val="333333"/>
          <w:spacing w:val="0"/>
          <w:sz w:val="32"/>
          <w:szCs w:val="32"/>
          <w:shd w:val="clear" w:fill="FFFFFF"/>
          <w:lang w:eastAsia="zh-CN"/>
        </w:rPr>
        <w:t>）依申请公开情况</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根据《江西省人民政府政务公开办公室关于印发江西省政府信息依申请公开工作规范的通知》（赣府公开办函〔2020〕1号）要求，宣教中心不断优化政府信息公开申请办理流程，全面规范登记、审核、办理、答复、归档程序，依法依规办理回复线上依申请公开答复工作。2020年，因政府信息公开引起的行政复议0件、行政诉讼0件。</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3" w:firstLineChars="200"/>
        <w:jc w:val="both"/>
        <w:textAlignment w:val="auto"/>
        <w:outlineLvl w:val="1"/>
        <w:rPr>
          <w:rFonts w:hint="eastAsia" w:ascii="楷体_GB2312" w:hAnsi="楷体_GB2312" w:eastAsia="楷体_GB2312" w:cs="楷体_GB2312"/>
          <w:b/>
          <w:bCs/>
          <w:i w:val="0"/>
          <w:caps w:val="0"/>
          <w:color w:val="333333"/>
          <w:spacing w:val="0"/>
          <w:sz w:val="32"/>
          <w:szCs w:val="32"/>
          <w:shd w:val="clear" w:fill="FFFFFF"/>
          <w:lang w:val="en-US" w:eastAsia="zh-CN"/>
        </w:rPr>
      </w:pPr>
      <w:r>
        <w:rPr>
          <w:rFonts w:hint="eastAsia" w:ascii="楷体_GB2312" w:hAnsi="楷体_GB2312" w:eastAsia="楷体_GB2312" w:cs="楷体_GB2312"/>
          <w:b/>
          <w:bCs/>
          <w:i w:val="0"/>
          <w:caps w:val="0"/>
          <w:color w:val="333333"/>
          <w:spacing w:val="0"/>
          <w:sz w:val="32"/>
          <w:szCs w:val="32"/>
          <w:shd w:val="clear" w:fill="FFFFFF"/>
          <w:lang w:eastAsia="zh-CN"/>
        </w:rPr>
        <w:t>（</w:t>
      </w:r>
      <w:r>
        <w:rPr>
          <w:rFonts w:hint="eastAsia" w:ascii="楷体_GB2312" w:hAnsi="楷体_GB2312" w:eastAsia="楷体_GB2312" w:cs="楷体_GB2312"/>
          <w:b/>
          <w:bCs/>
          <w:i w:val="0"/>
          <w:caps w:val="0"/>
          <w:color w:val="333333"/>
          <w:spacing w:val="0"/>
          <w:sz w:val="32"/>
          <w:szCs w:val="32"/>
          <w:shd w:val="clear" w:fill="FFFFFF"/>
          <w:lang w:val="en-US" w:eastAsia="zh-CN"/>
        </w:rPr>
        <w:t>三</w:t>
      </w:r>
      <w:r>
        <w:rPr>
          <w:rFonts w:hint="eastAsia" w:ascii="楷体_GB2312" w:hAnsi="楷体_GB2312" w:eastAsia="楷体_GB2312" w:cs="楷体_GB2312"/>
          <w:b/>
          <w:bCs/>
          <w:i w:val="0"/>
          <w:caps w:val="0"/>
          <w:color w:val="333333"/>
          <w:spacing w:val="0"/>
          <w:sz w:val="32"/>
          <w:szCs w:val="32"/>
          <w:shd w:val="clear" w:fill="FFFFFF"/>
          <w:lang w:eastAsia="zh-CN"/>
        </w:rPr>
        <w:t>）政府信息管理情况</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2020年，为严格落实政府信息公开保密审查工作机制，按照“先审查、后公开”原则对发布信息进行审查，坚决杜绝失泄密事件。加强内容审核和监测监管，严把政治关、法律关、政策关、保密关、文字关，确保政府信息的准确性和严肃性。同时，严格政务信息公开相关要求,向社会提供格式统一、内容完整、权威规范的政务信息。</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3" w:firstLineChars="200"/>
        <w:jc w:val="both"/>
        <w:textAlignment w:val="auto"/>
        <w:outlineLvl w:val="1"/>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w:t>
      </w:r>
      <w:r>
        <w:rPr>
          <w:rFonts w:hint="eastAsia" w:ascii="楷体_GB2312" w:hAnsi="楷体_GB2312" w:eastAsia="楷体_GB2312" w:cs="楷体_GB2312"/>
          <w:b/>
          <w:bCs/>
          <w:i w:val="0"/>
          <w:caps w:val="0"/>
          <w:color w:val="333333"/>
          <w:spacing w:val="0"/>
          <w:sz w:val="32"/>
          <w:szCs w:val="32"/>
          <w:shd w:val="clear" w:fill="FFFFFF"/>
          <w:lang w:val="en-US" w:eastAsia="zh-CN"/>
        </w:rPr>
        <w:t>四</w:t>
      </w:r>
      <w:r>
        <w:rPr>
          <w:rFonts w:hint="eastAsia" w:ascii="楷体_GB2312" w:hAnsi="楷体_GB2312" w:eastAsia="楷体_GB2312" w:cs="楷体_GB2312"/>
          <w:b/>
          <w:bCs/>
          <w:i w:val="0"/>
          <w:caps w:val="0"/>
          <w:color w:val="333333"/>
          <w:spacing w:val="0"/>
          <w:sz w:val="32"/>
          <w:szCs w:val="32"/>
          <w:shd w:val="clear" w:fill="FFFFFF"/>
          <w:lang w:eastAsia="zh-CN"/>
        </w:rPr>
        <w:t>）平台建设情况</w:t>
      </w:r>
    </w:p>
    <w:p>
      <w:pPr>
        <w:keepNext w:val="0"/>
        <w:keepLines w:val="0"/>
        <w:widowControl/>
        <w:suppressLineNumbers w:val="0"/>
        <w:ind w:firstLine="640" w:firstLineChars="200"/>
        <w:jc w:val="left"/>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t>通过做强政府网站平台，规范政务新媒体发展。由局宣教中心具体负责政府网站平台建设工作，配备了专职业务人员负责线上线下政府信息审核、信息发布、互动交流、依申请公开等服务工作。</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3" w:firstLineChars="200"/>
        <w:jc w:val="both"/>
        <w:textAlignment w:val="auto"/>
        <w:outlineLvl w:val="1"/>
        <w:rPr>
          <w:rFonts w:hint="eastAsia" w:ascii="楷体_GB2312" w:hAnsi="楷体_GB2312" w:eastAsia="楷体_GB2312" w:cs="楷体_GB2312"/>
          <w:b/>
          <w:bCs/>
          <w:i w:val="0"/>
          <w:caps w:val="0"/>
          <w:color w:val="333333"/>
          <w:spacing w:val="0"/>
          <w:sz w:val="32"/>
          <w:szCs w:val="32"/>
          <w:shd w:val="clear" w:fill="FFFFFF"/>
          <w:lang w:val="en-US" w:eastAsia="zh-CN"/>
        </w:rPr>
      </w:pPr>
      <w:r>
        <w:rPr>
          <w:rFonts w:hint="eastAsia" w:ascii="楷体_GB2312" w:hAnsi="楷体_GB2312" w:eastAsia="楷体_GB2312" w:cs="楷体_GB2312"/>
          <w:b/>
          <w:bCs/>
          <w:i w:val="0"/>
          <w:caps w:val="0"/>
          <w:color w:val="333333"/>
          <w:spacing w:val="0"/>
          <w:sz w:val="32"/>
          <w:szCs w:val="32"/>
          <w:shd w:val="clear" w:fill="FFFFFF"/>
          <w:lang w:val="en-US" w:eastAsia="zh-CN"/>
        </w:rPr>
        <w:t>（五）强化工作监督保障</w:t>
      </w:r>
    </w:p>
    <w:p>
      <w:pPr>
        <w:keepNext w:val="0"/>
        <w:keepLines w:val="0"/>
        <w:widowControl/>
        <w:suppressLineNumbers w:val="0"/>
        <w:ind w:firstLine="643" w:firstLineChars="200"/>
        <w:jc w:val="left"/>
        <w:rPr>
          <w:rFonts w:hint="default" w:ascii="Times New Roman" w:hAnsi="Times New Roman" w:eastAsia="宋体" w:cs="Times New Roman"/>
          <w:i w:val="0"/>
          <w:caps w:val="0"/>
          <w:color w:val="333333"/>
          <w:spacing w:val="0"/>
          <w:sz w:val="28"/>
          <w:szCs w:val="28"/>
          <w:shd w:val="clear" w:fill="FFFFFF"/>
          <w:lang w:eastAsia="zh-CN"/>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一是</w:t>
      </w:r>
      <w:r>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t>强化队伍建设，组织开展信息采写、审核、发布业务培训，进一步提高了政务公开工作人员的业务能力和水平。</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二是</w:t>
      </w:r>
      <w:r>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t>严格对照政务信息问题明细，逐项核查工作完成情况，对发现问题及时整改到位。</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三是</w:t>
      </w:r>
      <w:r>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t>将政务公开作为公众评议的重要内容，主动听取公众意见，接受公众监督。加强工作监督和考核，2020年未发生政务公开追责事件。</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0"/>
        <w:rPr>
          <w:rFonts w:hint="default" w:ascii="Times New Roman" w:hAnsi="Times New Roman" w:eastAsia="宋体" w:cs="Times New Roman"/>
          <w:b/>
          <w:i w:val="0"/>
          <w:caps w:val="0"/>
          <w:color w:val="333333"/>
          <w:spacing w:val="0"/>
          <w:sz w:val="32"/>
          <w:szCs w:val="32"/>
          <w:shd w:val="clear" w:fill="FFFFFF"/>
        </w:rPr>
      </w:pPr>
      <w:r>
        <w:rPr>
          <w:rFonts w:hint="default" w:ascii="Times New Roman" w:hAnsi="Times New Roman" w:eastAsia="宋体" w:cs="Times New Roman"/>
          <w:b/>
          <w:i w:val="0"/>
          <w:caps w:val="0"/>
          <w:color w:val="333333"/>
          <w:spacing w:val="0"/>
          <w:sz w:val="32"/>
          <w:szCs w:val="32"/>
          <w:shd w:val="clear" w:fill="FFFFFF"/>
        </w:rPr>
        <w:t>二、主动公开政府信息情况</w:t>
      </w:r>
    </w:p>
    <w:tbl>
      <w:tblPr>
        <w:tblStyle w:val="7"/>
        <w:tblW w:w="8140" w:type="dxa"/>
        <w:jc w:val="center"/>
        <w:shd w:val="clear" w:color="auto" w:fill="auto"/>
        <w:tblLayout w:type="autofit"/>
        <w:tblCellMar>
          <w:top w:w="0" w:type="dxa"/>
          <w:left w:w="0" w:type="dxa"/>
          <w:bottom w:w="0" w:type="dxa"/>
          <w:right w:w="0" w:type="dxa"/>
        </w:tblCellMar>
      </w:tblPr>
      <w:tblGrid>
        <w:gridCol w:w="3113"/>
        <w:gridCol w:w="1875"/>
        <w:gridCol w:w="1271"/>
        <w:gridCol w:w="1881"/>
      </w:tblGrid>
      <w:tr>
        <w:tblPrEx>
          <w:shd w:val="clear" w:color="auto" w:fill="auto"/>
          <w:tblCellMar>
            <w:top w:w="0" w:type="dxa"/>
            <w:left w:w="0" w:type="dxa"/>
            <w:bottom w:w="0" w:type="dxa"/>
            <w:right w:w="0" w:type="dxa"/>
          </w:tblCellMar>
        </w:tblPrEx>
        <w:trPr>
          <w:trHeight w:val="559"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第二十条第（一）项</w:t>
            </w:r>
          </w:p>
        </w:tc>
      </w:tr>
      <w:tr>
        <w:tblPrEx>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w:t>
            </w:r>
            <w:r>
              <w:rPr>
                <w:rFonts w:hint="default" w:ascii="Times New Roman" w:hAnsi="Times New Roman" w:cs="Times New Roman" w:eastAsiaTheme="minorEastAsia"/>
                <w:kern w:val="0"/>
                <w:sz w:val="21"/>
                <w:szCs w:val="21"/>
                <w:lang w:val="en-US" w:eastAsia="zh-CN" w:bidi="ar"/>
              </w:rPr>
              <w:t>制</w:t>
            </w:r>
            <w:r>
              <w:rPr>
                <w:rFonts w:hint="eastAsia" w:ascii="Times New Roman" w:hAnsi="Times New Roman" w:cs="Times New Roman"/>
                <w:kern w:val="0"/>
                <w:sz w:val="21"/>
                <w:szCs w:val="21"/>
                <w:lang w:val="en-US" w:eastAsia="zh-CN" w:bidi="ar"/>
              </w:rPr>
              <w:t>发件数</w:t>
            </w:r>
          </w:p>
        </w:tc>
        <w:tc>
          <w:tcPr>
            <w:tcW w:w="127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w:t>
            </w:r>
            <w:r>
              <w:rPr>
                <w:rFonts w:hint="eastAsia" w:ascii="Times New Roman" w:hAnsi="Times New Roman" w:eastAsia="宋体" w:cs="Times New Roman"/>
                <w:color w:val="000000"/>
                <w:kern w:val="0"/>
                <w:sz w:val="21"/>
                <w:szCs w:val="21"/>
                <w:lang w:val="en-US" w:eastAsia="zh-CN" w:bidi="ar"/>
              </w:rPr>
              <w:t>废止件数</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eastAsia" w:ascii="Times New Roman" w:hAnsi="Times New Roman" w:cs="Times New Roman" w:eastAsiaTheme="minorEastAsia"/>
                <w:sz w:val="22"/>
                <w:szCs w:val="28"/>
                <w:lang w:eastAsia="zh-CN"/>
              </w:rPr>
            </w:pPr>
            <w:r>
              <w:rPr>
                <w:rFonts w:hint="eastAsia" w:ascii="Times New Roman" w:hAnsi="Times New Roman" w:cs="Times New Roman"/>
                <w:sz w:val="22"/>
                <w:szCs w:val="28"/>
                <w:lang w:eastAsia="zh-CN"/>
              </w:rPr>
              <w:t>现行有效件数</w:t>
            </w:r>
          </w:p>
        </w:tc>
      </w:tr>
      <w:tr>
        <w:tblPrEx>
          <w:tblCellMar>
            <w:top w:w="0" w:type="dxa"/>
            <w:left w:w="0" w:type="dxa"/>
            <w:bottom w:w="0" w:type="dxa"/>
            <w:right w:w="0" w:type="dxa"/>
          </w:tblCellMar>
        </w:tblPrEx>
        <w:trPr>
          <w:trHeight w:val="2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12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CellMar>
            <w:top w:w="0" w:type="dxa"/>
            <w:left w:w="0" w:type="dxa"/>
            <w:bottom w:w="0" w:type="dxa"/>
            <w:right w:w="0" w:type="dxa"/>
          </w:tblCellMar>
        </w:tblPrEx>
        <w:trPr>
          <w:trHeight w:val="336"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eastAsia="宋体" w:cs="Times New Roman"/>
                <w:color w:val="000000"/>
                <w:kern w:val="0"/>
                <w:sz w:val="21"/>
                <w:szCs w:val="21"/>
                <w:lang w:val="en-US" w:eastAsia="zh-CN" w:bidi="ar"/>
              </w:rPr>
              <w:t>行政</w:t>
            </w:r>
            <w:r>
              <w:rPr>
                <w:rFonts w:hint="default" w:ascii="Times New Roman" w:hAnsi="Times New Roman" w:eastAsia="宋体" w:cs="Times New Roman"/>
                <w:color w:val="000000"/>
                <w:kern w:val="0"/>
                <w:sz w:val="21"/>
                <w:szCs w:val="21"/>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12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 w:eastAsia="zh-CN"/>
              </w:rPr>
            </w:pPr>
            <w:r>
              <w:rPr>
                <w:rFonts w:hint="eastAsia" w:ascii="Times New Roman" w:hAnsi="Times New Roman" w:cs="Times New Roman"/>
                <w:sz w:val="22"/>
                <w:szCs w:val="28"/>
                <w:lang w:val="en-US" w:eastAsia="zh-CN"/>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CellMar>
            <w:top w:w="0" w:type="dxa"/>
            <w:left w:w="0" w:type="dxa"/>
            <w:bottom w:w="0" w:type="dxa"/>
            <w:right w:w="0" w:type="dxa"/>
          </w:tblCellMar>
        </w:tblPrEx>
        <w:trPr>
          <w:trHeight w:val="315"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第二十条第（五）项</w:t>
            </w:r>
          </w:p>
        </w:tc>
      </w:tr>
      <w:tr>
        <w:tblPrEx>
          <w:tblCellMar>
            <w:top w:w="0" w:type="dxa"/>
            <w:left w:w="0" w:type="dxa"/>
            <w:bottom w:w="0" w:type="dxa"/>
            <w:right w:w="0" w:type="dxa"/>
          </w:tblCellMar>
        </w:tblPrEx>
        <w:trPr>
          <w:trHeight w:val="37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5027" w:type="dxa"/>
            <w:gridSpan w:val="3"/>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本年处理决定数量</w:t>
            </w:r>
          </w:p>
        </w:tc>
      </w:tr>
      <w:tr>
        <w:tblPrEx>
          <w:tblCellMar>
            <w:top w:w="0" w:type="dxa"/>
            <w:left w:w="0" w:type="dxa"/>
            <w:bottom w:w="0" w:type="dxa"/>
            <w:right w:w="0" w:type="dxa"/>
          </w:tblCellMar>
        </w:tblPrEx>
        <w:trPr>
          <w:trHeight w:val="4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行政许可</w:t>
            </w:r>
          </w:p>
        </w:tc>
        <w:tc>
          <w:tcPr>
            <w:tcW w:w="5027"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第二十条第（六）项</w:t>
            </w:r>
          </w:p>
        </w:tc>
      </w:tr>
      <w:tr>
        <w:tblPrEx>
          <w:tblCellMar>
            <w:top w:w="0" w:type="dxa"/>
            <w:left w:w="0" w:type="dxa"/>
            <w:bottom w:w="0" w:type="dxa"/>
            <w:right w:w="0" w:type="dxa"/>
          </w:tblCellMar>
        </w:tblPrEx>
        <w:trPr>
          <w:trHeight w:val="49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5027" w:type="dxa"/>
            <w:gridSpan w:val="3"/>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行政处罚</w:t>
            </w:r>
          </w:p>
        </w:tc>
        <w:tc>
          <w:tcPr>
            <w:tcW w:w="5027"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CellMar>
            <w:top w:w="0" w:type="dxa"/>
            <w:left w:w="0" w:type="dxa"/>
            <w:bottom w:w="0" w:type="dxa"/>
            <w:right w:w="0" w:type="dxa"/>
          </w:tblCellMar>
        </w:tblPrEx>
        <w:trPr>
          <w:trHeight w:val="33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行政强制</w:t>
            </w:r>
          </w:p>
        </w:tc>
        <w:tc>
          <w:tcPr>
            <w:tcW w:w="5027"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第二十条第（八）项</w:t>
            </w:r>
          </w:p>
        </w:tc>
      </w:tr>
      <w:tr>
        <w:tblPrEx>
          <w:tblCellMar>
            <w:top w:w="0" w:type="dxa"/>
            <w:left w:w="0" w:type="dxa"/>
            <w:bottom w:w="0" w:type="dxa"/>
            <w:right w:w="0" w:type="dxa"/>
          </w:tblCellMar>
        </w:tblPrEx>
        <w:trPr>
          <w:trHeight w:val="36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5027" w:type="dxa"/>
            <w:gridSpan w:val="3"/>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w:t>
            </w:r>
            <w:bookmarkStart w:id="0" w:name="_GoBack"/>
            <w:bookmarkEnd w:id="0"/>
            <w:r>
              <w:rPr>
                <w:rFonts w:hint="default" w:ascii="Times New Roman" w:hAnsi="Times New Roman" w:eastAsia="宋体" w:cs="Times New Roman"/>
                <w:color w:val="000000"/>
                <w:kern w:val="0"/>
                <w:sz w:val="21"/>
                <w:szCs w:val="21"/>
                <w:lang w:val="en-US" w:eastAsia="zh-CN" w:bidi="ar"/>
              </w:rPr>
              <w:t>年</w:t>
            </w:r>
            <w:r>
              <w:rPr>
                <w:rFonts w:hint="eastAsia" w:ascii="Times New Roman" w:hAnsi="Times New Roman" w:eastAsia="宋体" w:cs="Times New Roman"/>
                <w:color w:val="000000"/>
                <w:kern w:val="0"/>
                <w:sz w:val="21"/>
                <w:szCs w:val="21"/>
                <w:lang w:val="en-US" w:eastAsia="zh-CN" w:bidi="ar"/>
              </w:rPr>
              <w:t>收费金额（单位：万元）</w:t>
            </w:r>
          </w:p>
        </w:tc>
      </w:tr>
      <w:tr>
        <w:tblPrEx>
          <w:tblCellMar>
            <w:top w:w="0" w:type="dxa"/>
            <w:left w:w="0" w:type="dxa"/>
            <w:bottom w:w="0" w:type="dxa"/>
            <w:right w:w="0" w:type="dxa"/>
          </w:tblCellMar>
        </w:tblPrEx>
        <w:trPr>
          <w:trHeight w:val="346"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行政事业性收费</w:t>
            </w:r>
          </w:p>
        </w:tc>
        <w:tc>
          <w:tcPr>
            <w:tcW w:w="5027" w:type="dxa"/>
            <w:gridSpan w:val="3"/>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240" w:afterAutospacing="0" w:line="360" w:lineRule="auto"/>
        <w:ind w:right="0"/>
        <w:jc w:val="both"/>
        <w:textAlignment w:val="auto"/>
        <w:rPr>
          <w:rFonts w:hint="default" w:ascii="Times New Roman" w:hAnsi="Times New Roman" w:eastAsia="宋体" w:cs="Times New Roman"/>
          <w:b/>
          <w:i w:val="0"/>
          <w:caps w:val="0"/>
          <w:color w:val="333333"/>
          <w:spacing w:val="0"/>
          <w:sz w:val="28"/>
          <w:szCs w:val="28"/>
          <w:shd w:val="clear" w:fill="FFFFFF"/>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43" w:firstLineChars="200"/>
        <w:textAlignment w:val="auto"/>
        <w:outlineLvl w:val="0"/>
        <w:rPr>
          <w:rFonts w:hint="default" w:ascii="Times New Roman" w:hAnsi="Times New Roman" w:eastAsia="宋体" w:cs="Times New Roman"/>
          <w:b/>
          <w:i w:val="0"/>
          <w:caps w:val="0"/>
          <w:color w:val="333333"/>
          <w:spacing w:val="0"/>
          <w:sz w:val="32"/>
          <w:szCs w:val="32"/>
          <w:shd w:val="clear" w:fill="FFFFFF"/>
        </w:rPr>
      </w:pPr>
      <w:r>
        <w:rPr>
          <w:rFonts w:hint="default" w:ascii="Times New Roman" w:hAnsi="Times New Roman" w:eastAsia="宋体" w:cs="Times New Roman"/>
          <w:b/>
          <w:i w:val="0"/>
          <w:caps w:val="0"/>
          <w:color w:val="333333"/>
          <w:spacing w:val="0"/>
          <w:sz w:val="32"/>
          <w:szCs w:val="32"/>
          <w:shd w:val="clear" w:fill="FFFFFF"/>
        </w:rPr>
        <w:t>收到和处理政府信息公开申请情况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6"/>
        <w:gridCol w:w="1266"/>
        <w:gridCol w:w="1312"/>
        <w:gridCol w:w="785"/>
        <w:gridCol w:w="755"/>
        <w:gridCol w:w="755"/>
        <w:gridCol w:w="785"/>
        <w:gridCol w:w="865"/>
        <w:gridCol w:w="746"/>
        <w:gridCol w:w="7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634"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（本列数据的勾稽关系为：第一项加第二项之和，等于第三项加第四项之和）</w:t>
            </w:r>
          </w:p>
        </w:tc>
        <w:tc>
          <w:tcPr>
            <w:tcW w:w="5437"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2" w:hRule="atLeast"/>
          <w:jc w:val="center"/>
        </w:trPr>
        <w:tc>
          <w:tcPr>
            <w:tcW w:w="363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78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自然人</w:t>
            </w:r>
          </w:p>
        </w:tc>
        <w:tc>
          <w:tcPr>
            <w:tcW w:w="390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法人或其他组织</w:t>
            </w:r>
          </w:p>
        </w:tc>
        <w:tc>
          <w:tcPr>
            <w:tcW w:w="74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63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7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科研机构</w:t>
            </w:r>
          </w:p>
        </w:tc>
        <w:tc>
          <w:tcPr>
            <w:tcW w:w="78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社会公益组织</w:t>
            </w:r>
          </w:p>
        </w:tc>
        <w:tc>
          <w:tcPr>
            <w:tcW w:w="86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法律服务机构</w:t>
            </w:r>
          </w:p>
        </w:tc>
        <w:tc>
          <w:tcPr>
            <w:tcW w:w="7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其他</w:t>
            </w:r>
          </w:p>
        </w:tc>
        <w:tc>
          <w:tcPr>
            <w:tcW w:w="74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9" w:hRule="atLeast"/>
          <w:jc w:val="center"/>
        </w:trPr>
        <w:tc>
          <w:tcPr>
            <w:tcW w:w="363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一、本年新收政府信息公开申请数量</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7" w:hRule="atLeast"/>
          <w:jc w:val="center"/>
        </w:trPr>
        <w:tc>
          <w:tcPr>
            <w:tcW w:w="363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二、上年结转政府信息公开申请数量</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三、本年度办理结果</w:t>
            </w:r>
          </w:p>
        </w:tc>
        <w:tc>
          <w:tcPr>
            <w:tcW w:w="257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（一）予以公开</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57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（二）部分公开（区分处理的，只计这一情形，不计其他情形）</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（三）不予公开</w:t>
            </w: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1.属于国家秘密</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2.其他法律行政法规禁止公开</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both"/>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3.危及“三安全一稳定”</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4.保护第三方合法权益</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5.属于三类内部事务信息</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6.属于四类过程性信息</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7.属于行政执法案卷</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8.属于行政查询事项</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（四）无法提供</w:t>
            </w: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1.本机关不掌握相关政府信息</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2.没有现成信息需要另行制作</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3.补正后申请内容仍不明确</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（五）不予处理</w:t>
            </w: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1.信访举报投诉类申请</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2.重复申请</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3.要求提供公开出版物</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4.无正当理由大量反复申请</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5.要求行政机关确认或重新出具已获取信息</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（六）其他处理</w:t>
            </w: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eastAsia="楷体" w:cs="Times New Roman"/>
                <w:kern w:val="0"/>
                <w:sz w:val="21"/>
                <w:szCs w:val="21"/>
                <w:lang w:val="en-US" w:eastAsia="zh-CN" w:bidi="ar"/>
              </w:rPr>
            </w:pPr>
            <w:r>
              <w:rPr>
                <w:rFonts w:hint="eastAsia" w:ascii="Times New Roman" w:hAnsi="Times New Roman" w:eastAsia="楷体" w:cs="Times New Roman"/>
                <w:kern w:val="0"/>
                <w:sz w:val="21"/>
                <w:szCs w:val="21"/>
                <w:lang w:val="en-US" w:eastAsia="zh-CN" w:bidi="ar"/>
              </w:rPr>
              <w:t>1.申请人无正当理由逾期不补正、行政机关不再处理其政府信息公开申请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eastAsia="楷体" w:cs="Times New Roman"/>
                <w:kern w:val="0"/>
                <w:sz w:val="21"/>
                <w:szCs w:val="21"/>
                <w:lang w:val="en-US" w:eastAsia="zh-CN" w:bidi="ar"/>
              </w:rPr>
            </w:pP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rPr>
            </w:pPr>
            <w:r>
              <w:rPr>
                <w:rFonts w:hint="default" w:ascii="Times New Roman" w:hAnsi="Times New Roman" w:cs="Times New Roman"/>
                <w:sz w:val="22"/>
                <w:szCs w:val="28"/>
                <w:lang w:val="e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left w:val="nil"/>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eastAsia="楷体" w:cs="Times New Roman"/>
                <w:kern w:val="0"/>
                <w:sz w:val="21"/>
                <w:szCs w:val="21"/>
                <w:lang w:val="en-US" w:eastAsia="zh-CN" w:bidi="ar"/>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eastAsia="楷体" w:cs="Times New Roman"/>
                <w:kern w:val="0"/>
                <w:sz w:val="21"/>
                <w:szCs w:val="21"/>
                <w:lang w:val="en-US" w:eastAsia="zh-CN" w:bidi="ar"/>
              </w:rPr>
            </w:pPr>
            <w:r>
              <w:rPr>
                <w:rFonts w:hint="eastAsia" w:ascii="Times New Roman" w:hAnsi="Times New Roman" w:eastAsia="楷体" w:cs="Times New Roman"/>
                <w:kern w:val="0"/>
                <w:sz w:val="21"/>
                <w:szCs w:val="21"/>
                <w:lang w:val="en-US" w:eastAsia="zh-CN" w:bidi="ar"/>
              </w:rPr>
              <w:t>2.申请人逾期未按收费通知要求缴纳费用、行政机关不再处理其政府信息公开申请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eastAsia="楷体" w:cs="Times New Roman"/>
                <w:kern w:val="0"/>
                <w:sz w:val="21"/>
                <w:szCs w:val="21"/>
                <w:lang w:val="en-US" w:eastAsia="zh-CN" w:bidi="ar"/>
              </w:rPr>
            </w:pP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rPr>
            </w:pPr>
            <w:r>
              <w:rPr>
                <w:rFonts w:hint="default" w:ascii="Times New Roman" w:hAnsi="Times New Roman" w:cs="Times New Roman"/>
                <w:sz w:val="22"/>
                <w:szCs w:val="28"/>
                <w:lang w:val="e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eastAsia="楷体" w:cs="Times New Roman"/>
                <w:kern w:val="0"/>
                <w:sz w:val="21"/>
                <w:szCs w:val="21"/>
                <w:lang w:val="en-US" w:eastAsia="zh-CN" w:bidi="ar"/>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eastAsia="楷体" w:cs="Times New Roman"/>
                <w:kern w:val="0"/>
                <w:sz w:val="21"/>
                <w:szCs w:val="21"/>
                <w:lang w:val="en-US" w:eastAsia="zh-CN" w:bidi="ar"/>
              </w:rPr>
            </w:pPr>
            <w:r>
              <w:rPr>
                <w:rFonts w:hint="eastAsia" w:ascii="Times New Roman" w:hAnsi="Times New Roman" w:eastAsia="楷体" w:cs="Times New Roman"/>
                <w:kern w:val="0"/>
                <w:sz w:val="21"/>
                <w:szCs w:val="21"/>
                <w:lang w:val="en-US" w:eastAsia="zh-CN" w:bidi="ar"/>
              </w:rPr>
              <w:t>3.其他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eastAsia="楷体" w:cs="Times New Roman"/>
                <w:kern w:val="0"/>
                <w:sz w:val="21"/>
                <w:szCs w:val="21"/>
                <w:lang w:val="en-US" w:eastAsia="zh-CN" w:bidi="ar"/>
              </w:rPr>
            </w:pP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lang w:val="en"/>
              </w:rPr>
            </w:pPr>
            <w:r>
              <w:rPr>
                <w:rFonts w:hint="default" w:ascii="Times New Roman" w:hAnsi="Times New Roman" w:cs="Times New Roman"/>
                <w:sz w:val="22"/>
                <w:szCs w:val="28"/>
                <w:lang w:val="e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57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（七）总计</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63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四、结转下年度继续办理</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440" w:firstLineChars="200"/>
              <w:jc w:val="center"/>
              <w:textAlignment w:val="auto"/>
              <w:rPr>
                <w:rFonts w:hint="default" w:ascii="Times New Roman" w:hAnsi="Times New Roman" w:cs="Times New Roman"/>
                <w:sz w:val="28"/>
                <w:szCs w:val="28"/>
              </w:rPr>
            </w:pPr>
            <w:r>
              <w:rPr>
                <w:rFonts w:hint="eastAsia" w:ascii="Times New Roman" w:hAnsi="Times New Roman" w:cs="Times New Roman"/>
                <w:sz w:val="22"/>
                <w:szCs w:val="28"/>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outlineLvl w:val="0"/>
        <w:rPr>
          <w:rFonts w:hint="default" w:ascii="Times New Roman" w:hAnsi="Times New Roman" w:eastAsia="宋体" w:cs="Times New Roman"/>
          <w:b/>
          <w:i w:val="0"/>
          <w:caps w:val="0"/>
          <w:color w:val="333333"/>
          <w:spacing w:val="0"/>
          <w:sz w:val="32"/>
          <w:szCs w:val="32"/>
          <w:shd w:val="clear" w:fill="FFFFFF"/>
        </w:rPr>
      </w:pPr>
    </w:p>
    <w:p>
      <w:pPr>
        <w:numPr>
          <w:ilvl w:val="0"/>
          <w:numId w:val="2"/>
        </w:numPr>
        <w:ind w:firstLine="321" w:firstLineChars="100"/>
        <w:rPr>
          <w:rFonts w:hint="default" w:ascii="Times New Roman" w:hAnsi="Times New Roman" w:eastAsia="宋体" w:cs="Times New Roman"/>
          <w:b/>
          <w:i w:val="0"/>
          <w:caps w:val="0"/>
          <w:color w:val="333333"/>
          <w:spacing w:val="0"/>
          <w:sz w:val="32"/>
          <w:szCs w:val="32"/>
          <w:shd w:val="clear" w:fill="FFFFFF"/>
        </w:rPr>
      </w:pPr>
      <w:r>
        <w:rPr>
          <w:rFonts w:hint="default" w:ascii="Times New Roman" w:hAnsi="Times New Roman" w:eastAsia="宋体" w:cs="Times New Roman"/>
          <w:b/>
          <w:i w:val="0"/>
          <w:caps w:val="0"/>
          <w:color w:val="333333"/>
          <w:spacing w:val="0"/>
          <w:sz w:val="32"/>
          <w:szCs w:val="32"/>
          <w:shd w:val="clear" w:fill="FFFFFF"/>
        </w:rPr>
        <w:t>政府信息公开行政复议、行政诉讼情况</w:t>
      </w:r>
    </w:p>
    <w:p>
      <w:pPr>
        <w:numPr>
          <w:ilvl w:val="0"/>
          <w:numId w:val="0"/>
        </w:numPr>
        <w:rPr>
          <w:rFonts w:hint="default" w:ascii="Times New Roman" w:hAnsi="Times New Roman" w:eastAsia="宋体" w:cs="Times New Roman"/>
          <w:b/>
          <w:i w:val="0"/>
          <w:caps w:val="0"/>
          <w:color w:val="333333"/>
          <w:spacing w:val="0"/>
          <w:sz w:val="32"/>
          <w:szCs w:val="32"/>
          <w:shd w:val="clear" w:fill="FFFFFF"/>
        </w:rPr>
      </w:pP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37"/>
        <w:gridCol w:w="637"/>
        <w:gridCol w:w="637"/>
        <w:gridCol w:w="899"/>
        <w:gridCol w:w="637"/>
        <w:gridCol w:w="899"/>
        <w:gridCol w:w="637"/>
        <w:gridCol w:w="637"/>
        <w:gridCol w:w="637"/>
        <w:gridCol w:w="637"/>
        <w:gridCol w:w="637"/>
        <w:gridCol w:w="637"/>
        <w:gridCol w:w="637"/>
        <w:gridCol w:w="637"/>
        <w:gridCol w:w="6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cs="Times New Roman"/>
                <w:kern w:val="0"/>
                <w:sz w:val="21"/>
                <w:szCs w:val="21"/>
                <w:lang w:val="en-US" w:eastAsia="zh-CN" w:bidi="ar"/>
              </w:rPr>
              <w:t xml:space="preserve"> 0</w:t>
            </w:r>
            <w:r>
              <w:rPr>
                <w:rFonts w:hint="default" w:ascii="Times New Roman" w:hAnsi="Times New Roman" w:cs="Times New Roman" w:eastAsiaTheme="minorEastAsia"/>
                <w:kern w:val="0"/>
                <w:sz w:val="21"/>
                <w:szCs w:val="21"/>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 xml:space="preserve"> 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 xml:space="preserve"> 0</w:t>
            </w:r>
            <w:r>
              <w:rPr>
                <w:rFonts w:hint="default" w:ascii="Times New Roman" w:hAnsi="Times New Roman" w:cs="Times New Roman" w:eastAsiaTheme="minorEastAsia"/>
                <w:kern w:val="0"/>
                <w:sz w:val="21"/>
                <w:szCs w:val="21"/>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cs="Times New Roman"/>
                <w:kern w:val="0"/>
                <w:sz w:val="21"/>
                <w:szCs w:val="21"/>
                <w:lang w:val="en-US" w:eastAsia="zh-CN" w:bidi="ar"/>
              </w:rPr>
              <w:t xml:space="preserve"> </w:t>
            </w:r>
            <w:r>
              <w:rPr>
                <w:rFonts w:hint="default" w:ascii="Times New Roman" w:hAnsi="Times New Roman" w:cs="Times New Roman" w:eastAsiaTheme="minorEastAsia"/>
                <w:kern w:val="0"/>
                <w:sz w:val="21"/>
                <w:szCs w:val="21"/>
                <w:lang w:val="en-US" w:eastAsia="zh-CN" w:bidi="ar"/>
              </w:rPr>
              <w:t> </w:t>
            </w:r>
            <w:r>
              <w:rPr>
                <w:rFonts w:hint="eastAsia" w:ascii="Times New Roman" w:hAnsi="Times New Roman" w:cs="Times New Roman"/>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 xml:space="preserve"> 0</w:t>
            </w:r>
            <w:r>
              <w:rPr>
                <w:rFonts w:hint="default" w:ascii="Times New Roman" w:hAnsi="Times New Roman" w:cs="Times New Roman" w:eastAsiaTheme="minorEastAsia"/>
                <w:kern w:val="0"/>
                <w:sz w:val="21"/>
                <w:szCs w:val="21"/>
                <w:lang w:val="en-US" w:eastAsia="zh-CN" w:bidi="ar"/>
              </w:rPr>
              <w:t>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 </w:t>
            </w:r>
            <w:r>
              <w:rPr>
                <w:rFonts w:hint="eastAsia" w:ascii="Times New Roman" w:hAnsi="Times New Roman" w:eastAsia="宋体" w:cs="Times New Roman"/>
                <w:kern w:val="0"/>
                <w:sz w:val="21"/>
                <w:szCs w:val="21"/>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eastAsia="宋体" w:cs="Times New Roman"/>
                <w:kern w:val="0"/>
                <w:sz w:val="21"/>
                <w:szCs w:val="21"/>
                <w:lang w:val="en-US" w:eastAsia="zh-CN" w:bidi="ar"/>
              </w:rPr>
              <w:t xml:space="preserve">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eastAsia="宋体" w:cs="Times New Roman"/>
                <w:kern w:val="0"/>
                <w:sz w:val="21"/>
                <w:szCs w:val="21"/>
                <w:lang w:val="en-US" w:eastAsia="zh-CN" w:bidi="ar"/>
              </w:rPr>
              <w:t xml:space="preserve">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eastAsia="宋体" w:cs="Times New Roman"/>
                <w:kern w:val="0"/>
                <w:sz w:val="21"/>
                <w:szCs w:val="21"/>
                <w:lang w:val="en-US" w:eastAsia="zh-CN" w:bidi="ar"/>
              </w:rPr>
              <w:t xml:space="preserve">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color w:val="000000"/>
                <w:kern w:val="0"/>
                <w:sz w:val="21"/>
                <w:szCs w:val="21"/>
                <w:lang w:val="en-US" w:eastAsia="zh-CN" w:bidi="ar"/>
              </w:rPr>
              <w:t xml:space="preserve">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0</w:t>
            </w:r>
            <w:r>
              <w:rPr>
                <w:rFonts w:hint="default" w:ascii="Times New Roman" w:hAnsi="Times New Roman" w:eastAsia="宋体" w:cs="Times New Roman"/>
                <w:kern w:val="0"/>
                <w:sz w:val="21"/>
                <w:szCs w:val="21"/>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0</w:t>
            </w:r>
            <w:r>
              <w:rPr>
                <w:rFonts w:hint="default" w:ascii="Times New Roman" w:hAnsi="Times New Roman" w:eastAsia="宋体" w:cs="Times New Roman"/>
                <w:kern w:val="0"/>
                <w:sz w:val="21"/>
                <w:szCs w:val="21"/>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eastAsia="宋体" w:cs="Times New Roman"/>
                <w:color w:val="000000"/>
                <w:kern w:val="0"/>
                <w:sz w:val="21"/>
                <w:szCs w:val="21"/>
                <w:lang w:val="en-US" w:eastAsia="zh-CN" w:bidi="ar"/>
              </w:rPr>
              <w:t xml:space="preserve"> 0</w:t>
            </w:r>
            <w:r>
              <w:rPr>
                <w:rFonts w:hint="default" w:ascii="Times New Roman" w:hAnsi="Times New Roman" w:eastAsia="宋体" w:cs="Times New Roman"/>
                <w:color w:val="000000"/>
                <w:kern w:val="0"/>
                <w:sz w:val="21"/>
                <w:szCs w:val="21"/>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0</w:t>
            </w:r>
            <w:r>
              <w:rPr>
                <w:rFonts w:hint="default" w:ascii="Times New Roman" w:hAnsi="Times New Roman" w:eastAsia="宋体" w:cs="Times New Roman"/>
                <w:kern w:val="0"/>
                <w:sz w:val="21"/>
                <w:szCs w:val="21"/>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1"/>
                <w:szCs w:val="21"/>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center"/>
        <w:textAlignment w:val="auto"/>
        <w:rPr>
          <w:rFonts w:hint="default" w:ascii="Times New Roman" w:hAnsi="Times New Roman" w:eastAsia="宋体" w:cs="Times New Roman"/>
          <w:i w:val="0"/>
          <w:caps w:val="0"/>
          <w:color w:val="333333"/>
          <w:spacing w:val="0"/>
          <w:sz w:val="28"/>
          <w:szCs w:val="28"/>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0"/>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存在的问题：</w:t>
      </w:r>
      <w:r>
        <w:rPr>
          <w:rFonts w:hint="default" w:ascii="仿宋_GB2312" w:hAnsi="仿宋_GB2312" w:eastAsia="仿宋_GB2312" w:cs="仿宋_GB2312"/>
          <w:i w:val="0"/>
          <w:caps w:val="0"/>
          <w:color w:val="333333"/>
          <w:spacing w:val="0"/>
          <w:sz w:val="32"/>
          <w:szCs w:val="32"/>
          <w:shd w:val="clear" w:fill="FFFFFF"/>
          <w:lang w:val="en-US" w:eastAsia="zh-CN"/>
        </w:rPr>
        <w:t>202</w:t>
      </w:r>
      <w:r>
        <w:rPr>
          <w:rFonts w:hint="eastAsia" w:ascii="仿宋_GB2312" w:hAnsi="仿宋_GB2312" w:eastAsia="仿宋_GB2312" w:cs="仿宋_GB2312"/>
          <w:i w:val="0"/>
          <w:caps w:val="0"/>
          <w:color w:val="333333"/>
          <w:spacing w:val="0"/>
          <w:sz w:val="32"/>
          <w:szCs w:val="32"/>
          <w:shd w:val="clear" w:fill="FFFFFF"/>
          <w:lang w:val="en-US" w:eastAsia="zh-CN"/>
        </w:rPr>
        <w:t>0</w:t>
      </w:r>
      <w:r>
        <w:rPr>
          <w:rFonts w:hint="default" w:ascii="仿宋_GB2312" w:hAnsi="仿宋_GB2312" w:eastAsia="仿宋_GB2312" w:cs="仿宋_GB2312"/>
          <w:i w:val="0"/>
          <w:caps w:val="0"/>
          <w:color w:val="333333"/>
          <w:spacing w:val="0"/>
          <w:sz w:val="32"/>
          <w:szCs w:val="32"/>
          <w:shd w:val="clear" w:fill="FFFFFF"/>
          <w:lang w:val="en-US" w:eastAsia="zh-CN"/>
        </w:rPr>
        <w:t>年,</w:t>
      </w:r>
      <w:r>
        <w:rPr>
          <w:rFonts w:hint="eastAsia" w:ascii="仿宋_GB2312" w:hAnsi="仿宋_GB2312" w:eastAsia="仿宋_GB2312" w:cs="仿宋_GB2312"/>
          <w:i w:val="0"/>
          <w:caps w:val="0"/>
          <w:color w:val="333333"/>
          <w:spacing w:val="0"/>
          <w:sz w:val="32"/>
          <w:szCs w:val="32"/>
          <w:shd w:val="clear" w:fill="FFFFFF"/>
          <w:lang w:val="en-US" w:eastAsia="zh-CN"/>
        </w:rPr>
        <w:t>在上级生态环境部门和县委县政府的正确领导下，弋阳生态环境局</w:t>
      </w:r>
      <w:r>
        <w:rPr>
          <w:rFonts w:hint="default" w:ascii="仿宋_GB2312" w:hAnsi="仿宋_GB2312" w:eastAsia="仿宋_GB2312" w:cs="仿宋_GB2312"/>
          <w:i w:val="0"/>
          <w:caps w:val="0"/>
          <w:color w:val="333333"/>
          <w:spacing w:val="0"/>
          <w:sz w:val="32"/>
          <w:szCs w:val="32"/>
          <w:shd w:val="clear" w:fill="FFFFFF"/>
          <w:lang w:val="en-US" w:eastAsia="zh-CN"/>
        </w:rPr>
        <w:t>扎实推进政府信息公开工作，总体成效良好，但也存在一些问题和不足：</w:t>
      </w:r>
      <w:r>
        <w:rPr>
          <w:rFonts w:hint="eastAsia" w:ascii="仿宋_GB2312" w:hAnsi="仿宋_GB2312" w:eastAsia="仿宋_GB2312" w:cs="仿宋_GB2312"/>
          <w:i w:val="0"/>
          <w:caps w:val="0"/>
          <w:color w:val="333333"/>
          <w:spacing w:val="0"/>
          <w:sz w:val="32"/>
          <w:szCs w:val="32"/>
          <w:shd w:val="clear" w:fill="FFFFFF"/>
          <w:lang w:val="en-US" w:eastAsia="zh-CN"/>
        </w:rPr>
        <w:t>一是</w:t>
      </w:r>
      <w:r>
        <w:rPr>
          <w:rFonts w:hint="eastAsia" w:ascii="仿宋_GB2312" w:hAnsi="仿宋_GB2312" w:eastAsia="仿宋_GB2312" w:cs="仿宋_GB2312"/>
          <w:b w:val="0"/>
          <w:bCs w:val="0"/>
          <w:i w:val="0"/>
          <w:caps w:val="0"/>
          <w:color w:val="333333"/>
          <w:spacing w:val="0"/>
          <w:sz w:val="32"/>
          <w:szCs w:val="32"/>
          <w:shd w:val="clear" w:fill="FFFFFF"/>
          <w:lang w:val="en-US" w:eastAsia="zh-CN"/>
        </w:rPr>
        <w:t>政务信息</w:t>
      </w:r>
      <w:r>
        <w:rPr>
          <w:rFonts w:hint="default" w:ascii="仿宋_GB2312" w:hAnsi="仿宋_GB2312" w:eastAsia="仿宋_GB2312" w:cs="仿宋_GB2312"/>
          <w:i w:val="0"/>
          <w:caps w:val="0"/>
          <w:color w:val="333333"/>
          <w:spacing w:val="0"/>
          <w:sz w:val="32"/>
          <w:szCs w:val="32"/>
          <w:shd w:val="clear" w:fill="FFFFFF"/>
          <w:lang w:val="en-US" w:eastAsia="zh-CN"/>
        </w:rPr>
        <w:t>主动公开还不够完善</w:t>
      </w:r>
      <w:r>
        <w:rPr>
          <w:rFonts w:hint="eastAsia" w:ascii="仿宋_GB2312" w:hAnsi="仿宋_GB2312" w:eastAsia="仿宋_GB2312" w:cs="仿宋_GB2312"/>
          <w:i w:val="0"/>
          <w:caps w:val="0"/>
          <w:color w:val="333333"/>
          <w:spacing w:val="0"/>
          <w:sz w:val="32"/>
          <w:szCs w:val="32"/>
          <w:shd w:val="clear" w:fill="FFFFFF"/>
          <w:lang w:val="en-US" w:eastAsia="zh-CN"/>
        </w:rPr>
        <w:t>；二是</w:t>
      </w:r>
      <w:r>
        <w:rPr>
          <w:rFonts w:hint="default" w:ascii="仿宋_GB2312" w:hAnsi="仿宋_GB2312" w:eastAsia="仿宋_GB2312" w:cs="仿宋_GB2312"/>
          <w:i w:val="0"/>
          <w:caps w:val="0"/>
          <w:color w:val="333333"/>
          <w:spacing w:val="0"/>
          <w:sz w:val="32"/>
          <w:szCs w:val="32"/>
          <w:shd w:val="clear" w:fill="FFFFFF"/>
          <w:lang w:val="en-US" w:eastAsia="zh-CN"/>
        </w:rPr>
        <w:t>政务</w:t>
      </w:r>
      <w:r>
        <w:rPr>
          <w:rFonts w:hint="eastAsia" w:ascii="仿宋_GB2312" w:hAnsi="仿宋_GB2312" w:eastAsia="仿宋_GB2312" w:cs="仿宋_GB2312"/>
          <w:i w:val="0"/>
          <w:caps w:val="0"/>
          <w:color w:val="333333"/>
          <w:spacing w:val="0"/>
          <w:sz w:val="32"/>
          <w:szCs w:val="32"/>
          <w:shd w:val="clear" w:fill="FFFFFF"/>
          <w:lang w:val="en-US" w:eastAsia="zh-CN"/>
        </w:rPr>
        <w:t>信息</w:t>
      </w:r>
      <w:r>
        <w:rPr>
          <w:rFonts w:hint="default" w:ascii="仿宋_GB2312" w:hAnsi="仿宋_GB2312" w:eastAsia="仿宋_GB2312" w:cs="仿宋_GB2312"/>
          <w:i w:val="0"/>
          <w:caps w:val="0"/>
          <w:color w:val="333333"/>
          <w:spacing w:val="0"/>
          <w:sz w:val="32"/>
          <w:szCs w:val="32"/>
          <w:shd w:val="clear" w:fill="FFFFFF"/>
          <w:lang w:val="en-US" w:eastAsia="zh-CN"/>
        </w:rPr>
        <w:t>公开标准化规范化工作</w:t>
      </w:r>
      <w:r>
        <w:rPr>
          <w:rFonts w:hint="eastAsia" w:ascii="仿宋_GB2312" w:hAnsi="仿宋_GB2312" w:eastAsia="仿宋_GB2312" w:cs="仿宋_GB2312"/>
          <w:i w:val="0"/>
          <w:caps w:val="0"/>
          <w:color w:val="333333"/>
          <w:spacing w:val="0"/>
          <w:sz w:val="32"/>
          <w:szCs w:val="32"/>
          <w:shd w:val="clear" w:fill="FFFFFF"/>
          <w:lang w:val="en-US" w:eastAsia="zh-CN"/>
        </w:rPr>
        <w:t>还存在不足；三是局机关职能信息公开不够完善，主要是局各股室职能没有公开</w:t>
      </w:r>
      <w:r>
        <w:rPr>
          <w:rFonts w:hint="default" w:ascii="仿宋_GB2312" w:hAnsi="仿宋_GB2312" w:eastAsia="仿宋_GB2312" w:cs="仿宋_GB2312"/>
          <w:i w:val="0"/>
          <w:caps w:val="0"/>
          <w:color w:val="333333"/>
          <w:spacing w:val="0"/>
          <w:sz w:val="32"/>
          <w:szCs w:val="32"/>
          <w:shd w:val="clear" w:fill="FFFFFF"/>
          <w:lang w:val="en-US"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下一步，</w:t>
      </w:r>
      <w:r>
        <w:rPr>
          <w:rFonts w:hint="default" w:ascii="仿宋_GB2312" w:hAnsi="仿宋_GB2312" w:eastAsia="仿宋_GB2312" w:cs="仿宋_GB2312"/>
          <w:i w:val="0"/>
          <w:caps w:val="0"/>
          <w:color w:val="333333"/>
          <w:spacing w:val="0"/>
          <w:sz w:val="32"/>
          <w:szCs w:val="32"/>
          <w:shd w:val="clear" w:fill="FFFFFF"/>
          <w:lang w:val="en-US" w:eastAsia="zh-CN"/>
        </w:rPr>
        <w:t>我们将持续推进政务公开工作标准化规范化建设</w:t>
      </w:r>
      <w:r>
        <w:rPr>
          <w:rFonts w:hint="eastAsia" w:ascii="仿宋_GB2312" w:hAnsi="仿宋_GB2312" w:eastAsia="仿宋_GB2312" w:cs="仿宋_GB2312"/>
          <w:i w:val="0"/>
          <w:caps w:val="0"/>
          <w:color w:val="333333"/>
          <w:spacing w:val="0"/>
          <w:sz w:val="32"/>
          <w:szCs w:val="32"/>
          <w:shd w:val="clear" w:fill="FFFFFF"/>
          <w:lang w:val="en-US" w:eastAsia="zh-CN"/>
        </w:rPr>
        <w:t>，加大政务信息人员业务培训，</w:t>
      </w:r>
      <w:r>
        <w:rPr>
          <w:rFonts w:hint="default" w:ascii="仿宋_GB2312" w:hAnsi="仿宋_GB2312" w:eastAsia="仿宋_GB2312" w:cs="仿宋_GB2312"/>
          <w:i w:val="0"/>
          <w:caps w:val="0"/>
          <w:color w:val="333333"/>
          <w:spacing w:val="0"/>
          <w:sz w:val="32"/>
          <w:szCs w:val="32"/>
          <w:shd w:val="clear" w:fill="FFFFFF"/>
          <w:lang w:val="en-US" w:eastAsia="zh-CN"/>
        </w:rPr>
        <w:t>继续深化重点领域信息公开，</w:t>
      </w:r>
      <w:r>
        <w:rPr>
          <w:rFonts w:hint="eastAsia" w:ascii="仿宋_GB2312" w:hAnsi="仿宋_GB2312" w:eastAsia="仿宋_GB2312" w:cs="仿宋_GB2312"/>
          <w:i w:val="0"/>
          <w:caps w:val="0"/>
          <w:color w:val="333333"/>
          <w:spacing w:val="0"/>
          <w:sz w:val="32"/>
          <w:szCs w:val="32"/>
          <w:shd w:val="clear" w:fill="FFFFFF"/>
          <w:lang w:val="en-US" w:eastAsia="zh-CN"/>
        </w:rPr>
        <w:t>进一步完善信息公开，</w:t>
      </w:r>
      <w:r>
        <w:rPr>
          <w:rFonts w:hint="default" w:ascii="仿宋_GB2312" w:hAnsi="仿宋_GB2312" w:eastAsia="仿宋_GB2312" w:cs="仿宋_GB2312"/>
          <w:i w:val="0"/>
          <w:caps w:val="0"/>
          <w:color w:val="333333"/>
          <w:spacing w:val="0"/>
          <w:sz w:val="32"/>
          <w:szCs w:val="32"/>
          <w:shd w:val="clear" w:fill="FFFFFF"/>
          <w:lang w:val="en-US" w:eastAsia="zh-CN"/>
        </w:rPr>
        <w:t>主动、及时、准确公开事关群众切身利益的</w:t>
      </w:r>
      <w:r>
        <w:rPr>
          <w:rFonts w:hint="eastAsia" w:ascii="仿宋_GB2312" w:hAnsi="仿宋_GB2312" w:eastAsia="仿宋_GB2312" w:cs="仿宋_GB2312"/>
          <w:i w:val="0"/>
          <w:caps w:val="0"/>
          <w:color w:val="333333"/>
          <w:spacing w:val="0"/>
          <w:sz w:val="32"/>
          <w:szCs w:val="32"/>
          <w:shd w:val="clear" w:fill="FFFFFF"/>
          <w:lang w:val="en-US" w:eastAsia="zh-CN"/>
        </w:rPr>
        <w:t>各项</w:t>
      </w:r>
      <w:r>
        <w:rPr>
          <w:rFonts w:hint="default" w:ascii="仿宋_GB2312" w:hAnsi="仿宋_GB2312" w:eastAsia="仿宋_GB2312" w:cs="仿宋_GB2312"/>
          <w:i w:val="0"/>
          <w:caps w:val="0"/>
          <w:color w:val="333333"/>
          <w:spacing w:val="0"/>
          <w:sz w:val="32"/>
          <w:szCs w:val="32"/>
          <w:shd w:val="clear" w:fill="FFFFFF"/>
          <w:lang w:val="en-US" w:eastAsia="zh-CN"/>
        </w:rPr>
        <w:t>政府</w:t>
      </w:r>
      <w:r>
        <w:rPr>
          <w:rFonts w:hint="eastAsia" w:ascii="仿宋_GB2312" w:hAnsi="仿宋_GB2312" w:eastAsia="仿宋_GB2312" w:cs="仿宋_GB2312"/>
          <w:i w:val="0"/>
          <w:caps w:val="0"/>
          <w:color w:val="333333"/>
          <w:spacing w:val="0"/>
          <w:sz w:val="32"/>
          <w:szCs w:val="32"/>
          <w:shd w:val="clear" w:fill="FFFFFF"/>
          <w:lang w:val="en-US" w:eastAsia="zh-CN"/>
        </w:rPr>
        <w:t>职能</w:t>
      </w:r>
      <w:r>
        <w:rPr>
          <w:rFonts w:hint="default" w:ascii="仿宋_GB2312" w:hAnsi="仿宋_GB2312" w:eastAsia="仿宋_GB2312" w:cs="仿宋_GB2312"/>
          <w:i w:val="0"/>
          <w:caps w:val="0"/>
          <w:color w:val="333333"/>
          <w:spacing w:val="0"/>
          <w:sz w:val="32"/>
          <w:szCs w:val="32"/>
          <w:shd w:val="clear" w:fill="FFFFFF"/>
          <w:lang w:val="en-US" w:eastAsia="zh-CN"/>
        </w:rPr>
        <w:t>信息，提升政务公开水平。</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0"/>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六、其他需要报告的事项</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default"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caps w:val="0"/>
          <w:color w:val="333333"/>
          <w:spacing w:val="0"/>
          <w:sz w:val="32"/>
          <w:szCs w:val="32"/>
          <w:shd w:val="clear" w:fill="FFFFFF"/>
          <w:lang w:val="en-US" w:eastAsia="zh-CN"/>
        </w:rPr>
        <w:t>2020年，没有对公民、法人和其他组织政府信息公开收费及减免情况。</w:t>
      </w:r>
    </w:p>
    <w:sectPr>
      <w:footerReference r:id="rId3" w:type="default"/>
      <w:pgSz w:w="11906" w:h="16838"/>
      <w:pgMar w:top="1610" w:right="1610" w:bottom="1610" w:left="161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634757"/>
    <w:multiLevelType w:val="singleLevel"/>
    <w:tmpl w:val="F6634757"/>
    <w:lvl w:ilvl="0" w:tentative="0">
      <w:start w:val="4"/>
      <w:numFmt w:val="chineseCounting"/>
      <w:suff w:val="nothing"/>
      <w:lvlText w:val="%1、"/>
      <w:lvlJc w:val="left"/>
      <w:rPr>
        <w:rFonts w:hint="eastAsia"/>
      </w:rPr>
    </w:lvl>
  </w:abstractNum>
  <w:abstractNum w:abstractNumId="1">
    <w:nsid w:val="5B5F73CB"/>
    <w:multiLevelType w:val="singleLevel"/>
    <w:tmpl w:val="5B5F73CB"/>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lYWQxOWVmOTVkNDE4YzY5MzczYzUyZGQ0MTU3N2EifQ=="/>
  </w:docVars>
  <w:rsids>
    <w:rsidRoot w:val="00000000"/>
    <w:rsid w:val="02EC5376"/>
    <w:rsid w:val="03191D25"/>
    <w:rsid w:val="072F4BA5"/>
    <w:rsid w:val="08195555"/>
    <w:rsid w:val="09317FE1"/>
    <w:rsid w:val="09832127"/>
    <w:rsid w:val="0A875204"/>
    <w:rsid w:val="0A9C70FD"/>
    <w:rsid w:val="0E1762BC"/>
    <w:rsid w:val="0FE32618"/>
    <w:rsid w:val="119825C0"/>
    <w:rsid w:val="14F15005"/>
    <w:rsid w:val="15871F71"/>
    <w:rsid w:val="15BF234C"/>
    <w:rsid w:val="15C00F7E"/>
    <w:rsid w:val="17534F7D"/>
    <w:rsid w:val="188C457A"/>
    <w:rsid w:val="18AC5712"/>
    <w:rsid w:val="18E75A11"/>
    <w:rsid w:val="1A3374A1"/>
    <w:rsid w:val="1B931963"/>
    <w:rsid w:val="1BA16509"/>
    <w:rsid w:val="1C02298D"/>
    <w:rsid w:val="1DEB39C5"/>
    <w:rsid w:val="1EDEC942"/>
    <w:rsid w:val="1F9A10B4"/>
    <w:rsid w:val="201438E3"/>
    <w:rsid w:val="236266CE"/>
    <w:rsid w:val="2367255C"/>
    <w:rsid w:val="23B06487"/>
    <w:rsid w:val="244265A3"/>
    <w:rsid w:val="2480713E"/>
    <w:rsid w:val="24E11266"/>
    <w:rsid w:val="275A5DE1"/>
    <w:rsid w:val="28E073F0"/>
    <w:rsid w:val="2AFE7FB2"/>
    <w:rsid w:val="2B1FD524"/>
    <w:rsid w:val="2C9F12C9"/>
    <w:rsid w:val="2D1B1BB1"/>
    <w:rsid w:val="2E4B1083"/>
    <w:rsid w:val="2F7032CF"/>
    <w:rsid w:val="31471C16"/>
    <w:rsid w:val="31526FA6"/>
    <w:rsid w:val="32AD1347"/>
    <w:rsid w:val="333151DB"/>
    <w:rsid w:val="33C90D9F"/>
    <w:rsid w:val="35B50230"/>
    <w:rsid w:val="35C90959"/>
    <w:rsid w:val="37412AF9"/>
    <w:rsid w:val="39AD092A"/>
    <w:rsid w:val="3A79184E"/>
    <w:rsid w:val="3B5DAE60"/>
    <w:rsid w:val="3D7BB887"/>
    <w:rsid w:val="3DEF189B"/>
    <w:rsid w:val="3DF780A0"/>
    <w:rsid w:val="3DFF9575"/>
    <w:rsid w:val="3E7A5E4E"/>
    <w:rsid w:val="3F1FF4AF"/>
    <w:rsid w:val="3F5D19CD"/>
    <w:rsid w:val="3F6BDDA4"/>
    <w:rsid w:val="3FAF310B"/>
    <w:rsid w:val="3FAFB380"/>
    <w:rsid w:val="423F0265"/>
    <w:rsid w:val="438E763C"/>
    <w:rsid w:val="457F4DAF"/>
    <w:rsid w:val="45FE0BE7"/>
    <w:rsid w:val="47F5471F"/>
    <w:rsid w:val="49763FFE"/>
    <w:rsid w:val="4A553D6E"/>
    <w:rsid w:val="4B3F051B"/>
    <w:rsid w:val="4B8B0EB1"/>
    <w:rsid w:val="4D2E018C"/>
    <w:rsid w:val="4DE04D9F"/>
    <w:rsid w:val="4F3F3973"/>
    <w:rsid w:val="4F7D3560"/>
    <w:rsid w:val="50300050"/>
    <w:rsid w:val="519D4381"/>
    <w:rsid w:val="51E028F0"/>
    <w:rsid w:val="520C43E1"/>
    <w:rsid w:val="553F1432"/>
    <w:rsid w:val="56614BF7"/>
    <w:rsid w:val="566E50F8"/>
    <w:rsid w:val="56857A37"/>
    <w:rsid w:val="5AEBCA74"/>
    <w:rsid w:val="5B2408AD"/>
    <w:rsid w:val="5BDE06F9"/>
    <w:rsid w:val="5CA232E3"/>
    <w:rsid w:val="5D7B3E84"/>
    <w:rsid w:val="5F0D6684"/>
    <w:rsid w:val="5F135BC4"/>
    <w:rsid w:val="5FCE6A83"/>
    <w:rsid w:val="63462AAE"/>
    <w:rsid w:val="64AE2CC0"/>
    <w:rsid w:val="64EF5736"/>
    <w:rsid w:val="65392812"/>
    <w:rsid w:val="67BA571D"/>
    <w:rsid w:val="697F2CD3"/>
    <w:rsid w:val="6A579327"/>
    <w:rsid w:val="6A742999"/>
    <w:rsid w:val="6A7F93F4"/>
    <w:rsid w:val="6E6C414C"/>
    <w:rsid w:val="6EB526D3"/>
    <w:rsid w:val="6EC41F3F"/>
    <w:rsid w:val="6EFE67D6"/>
    <w:rsid w:val="6F9B8FFB"/>
    <w:rsid w:val="6F9FFA7B"/>
    <w:rsid w:val="6FB758CA"/>
    <w:rsid w:val="6FFE38CC"/>
    <w:rsid w:val="72EA3CE1"/>
    <w:rsid w:val="73176F97"/>
    <w:rsid w:val="73E745F5"/>
    <w:rsid w:val="73FEC7C1"/>
    <w:rsid w:val="75EFC6D4"/>
    <w:rsid w:val="7753EA90"/>
    <w:rsid w:val="777F0668"/>
    <w:rsid w:val="77EE0643"/>
    <w:rsid w:val="77FB0B10"/>
    <w:rsid w:val="79F404D7"/>
    <w:rsid w:val="79F588EB"/>
    <w:rsid w:val="7AA46F7D"/>
    <w:rsid w:val="7B440FF1"/>
    <w:rsid w:val="7B5E4F94"/>
    <w:rsid w:val="7B675A7B"/>
    <w:rsid w:val="7BBF38A3"/>
    <w:rsid w:val="7BEF2014"/>
    <w:rsid w:val="7BF79EAB"/>
    <w:rsid w:val="7BFDAC37"/>
    <w:rsid w:val="7C934EFA"/>
    <w:rsid w:val="7CA53108"/>
    <w:rsid w:val="7CB2C237"/>
    <w:rsid w:val="7DFF332F"/>
    <w:rsid w:val="7E3B3F40"/>
    <w:rsid w:val="7E651CDE"/>
    <w:rsid w:val="7E84512E"/>
    <w:rsid w:val="7EB8AF0B"/>
    <w:rsid w:val="7EBF948E"/>
    <w:rsid w:val="7F5E8F9D"/>
    <w:rsid w:val="7F77F8E4"/>
    <w:rsid w:val="7F7F3908"/>
    <w:rsid w:val="7FB8B4A4"/>
    <w:rsid w:val="7FD78573"/>
    <w:rsid w:val="7FDB8D30"/>
    <w:rsid w:val="7FE7CE0F"/>
    <w:rsid w:val="7FEEC1A7"/>
    <w:rsid w:val="7FEF0DE9"/>
    <w:rsid w:val="7FF2D443"/>
    <w:rsid w:val="7FF4A73D"/>
    <w:rsid w:val="7FFFBEA8"/>
    <w:rsid w:val="83FF1C1B"/>
    <w:rsid w:val="AFBE3EF5"/>
    <w:rsid w:val="AFFC2CEC"/>
    <w:rsid w:val="B4B5A6EC"/>
    <w:rsid w:val="B77FFDD6"/>
    <w:rsid w:val="B7FFF349"/>
    <w:rsid w:val="B9F27433"/>
    <w:rsid w:val="BAAD66AC"/>
    <w:rsid w:val="BAD7CC55"/>
    <w:rsid w:val="BF7FD0FE"/>
    <w:rsid w:val="BFB7F6E4"/>
    <w:rsid w:val="BFBFF119"/>
    <w:rsid w:val="C9F642AA"/>
    <w:rsid w:val="D21B0EB6"/>
    <w:rsid w:val="D2FFDB35"/>
    <w:rsid w:val="D34BC387"/>
    <w:rsid w:val="DD7F8ED6"/>
    <w:rsid w:val="DFDF7DFD"/>
    <w:rsid w:val="DFFF61BE"/>
    <w:rsid w:val="E16E4F15"/>
    <w:rsid w:val="EDFE6634"/>
    <w:rsid w:val="EE1ED7E3"/>
    <w:rsid w:val="EE5375CC"/>
    <w:rsid w:val="EEF9390D"/>
    <w:rsid w:val="EFED132A"/>
    <w:rsid w:val="F5E576D2"/>
    <w:rsid w:val="F7F9B56F"/>
    <w:rsid w:val="F7FF7E54"/>
    <w:rsid w:val="F88B6A7C"/>
    <w:rsid w:val="FADF9F13"/>
    <w:rsid w:val="FBDBB7A1"/>
    <w:rsid w:val="FBF79C2E"/>
    <w:rsid w:val="FBFF03D9"/>
    <w:rsid w:val="FD3C6294"/>
    <w:rsid w:val="FD5F0E6C"/>
    <w:rsid w:val="FDFD3067"/>
    <w:rsid w:val="FE9E869A"/>
    <w:rsid w:val="FEF7CBDF"/>
    <w:rsid w:val="FEFED2FC"/>
    <w:rsid w:val="FEFFC179"/>
    <w:rsid w:val="FF8D5B3C"/>
    <w:rsid w:val="FFBBC094"/>
    <w:rsid w:val="FFBFCA62"/>
    <w:rsid w:val="FFEE5BC4"/>
    <w:rsid w:val="FFFFD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 w:type="character" w:styleId="10">
    <w:name w:val="FollowedHyperlink"/>
    <w:basedOn w:val="8"/>
    <w:autoRedefine/>
    <w:qFormat/>
    <w:uiPriority w:val="0"/>
    <w:rPr>
      <w:color w:val="800080"/>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2292</Words>
  <Characters>2357</Characters>
  <Lines>0</Lines>
  <Paragraphs>0</Paragraphs>
  <TotalTime>26</TotalTime>
  <ScaleCrop>false</ScaleCrop>
  <LinksUpToDate>false</LinksUpToDate>
  <CharactersWithSpaces>2413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2021-01-16T01:14:00Z</dcterms:created>
  <dc:creator>Administrator</dc:creator>
  <cp:lastModifiedBy>芳华· 贵</cp:lastModifiedBy>
  <dcterms:modified xsi:type="dcterms:W3CDTF">2023-12-31T08:51:14Z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SaveFontToCloudKey">
    <vt:lpwstr>239635297_btnclosed</vt:lpwstr>
  </property>
  <property fmtid="{D5CDD505-2E9C-101B-9397-08002B2CF9AE}" pid="4" name="ICV">
    <vt:lpwstr>5CF43E1AFDEC479284920E62493CDEC9</vt:lpwstr>
  </property>
</Properties>
</file>