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（8月11日-8月17日）</w:t>
      </w:r>
    </w:p>
    <w:p w14:paraId="5D72D86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政策法规股</w:t>
      </w:r>
    </w:p>
    <w:p w14:paraId="101B1274">
      <w:p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办理超限处罚案件7件，运政入案系统2件，办理督查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整改2项，提交40宗执法案卷到司法局抽查，审理危货平台的违章信息2条，整理案卷信息，归档记录。</w:t>
      </w: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8F53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本周办理大件运输审批16件二类，普货运输车辆营运证年审59件，从业资格证换证1个，出租车年审2个，线上年审32个，维修企业备案7家。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40CA929B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26CBF5D7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弋阳西枢纽互通连接线（高清线）</w:t>
      </w:r>
      <w:r>
        <w:rPr>
          <w:rFonts w:hint="eastAsia" w:ascii="仿宋" w:hAnsi="仿宋" w:eastAsia="仿宋" w:cs="仿宋"/>
          <w:sz w:val="30"/>
          <w:szCs w:val="30"/>
        </w:rPr>
        <w:t>工程转包、违法分包等违法违规行为专项整治情况自查报告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会同圭峰镇、设计单位至弋丰高速弋阳境内桥涵设置进行现场调查。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003902C3"/>
    <w:rsid w:val="11A72C7C"/>
    <w:rsid w:val="12614C43"/>
    <w:rsid w:val="14C04896"/>
    <w:rsid w:val="1ABE4EAC"/>
    <w:rsid w:val="2F5365AE"/>
    <w:rsid w:val="30050774"/>
    <w:rsid w:val="30F821A0"/>
    <w:rsid w:val="33212B93"/>
    <w:rsid w:val="378C5159"/>
    <w:rsid w:val="3AC9305F"/>
    <w:rsid w:val="435C544A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454</Characters>
  <Lines>0</Lines>
  <Paragraphs>0</Paragraphs>
  <TotalTime>1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2025-08-19T02:01:12Z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