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21FCE">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关于2023年度全县企业国有资产管理情况的</w:t>
      </w:r>
    </w:p>
    <w:p w14:paraId="3A8719EA">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专项报告</w:t>
      </w:r>
    </w:p>
    <w:p w14:paraId="5CE753E6">
      <w:pPr>
        <w:keepNext w:val="0"/>
        <w:keepLines w:val="0"/>
        <w:pageBreakBefore w:val="0"/>
        <w:widowControl w:val="0"/>
        <w:kinsoku/>
        <w:wordWrap/>
        <w:overflowPunct/>
        <w:topLinePunct w:val="0"/>
        <w:autoSpaceDE/>
        <w:autoSpaceDN/>
        <w:bidi w:val="0"/>
        <w:adjustRightInd/>
        <w:snapToGrid/>
        <w:spacing w:line="400" w:lineRule="exact"/>
        <w:ind w:firstLine="576" w:firstLineChars="200"/>
        <w:jc w:val="center"/>
        <w:textAlignment w:val="auto"/>
        <w:rPr>
          <w:rFonts w:hint="eastAsia" w:ascii="方正楷体简体" w:eastAsia="方正楷体简体"/>
          <w:w w:val="90"/>
          <w:sz w:val="32"/>
          <w:szCs w:val="32"/>
        </w:rPr>
      </w:pPr>
    </w:p>
    <w:p w14:paraId="7CFAAC63">
      <w:pPr>
        <w:keepNext w:val="0"/>
        <w:keepLines w:val="0"/>
        <w:pageBreakBefore w:val="0"/>
        <w:widowControl w:val="0"/>
        <w:kinsoku/>
        <w:wordWrap/>
        <w:overflowPunct/>
        <w:topLinePunct w:val="0"/>
        <w:autoSpaceDE/>
        <w:autoSpaceDN/>
        <w:bidi w:val="0"/>
        <w:adjustRightInd/>
        <w:snapToGrid/>
        <w:spacing w:line="560" w:lineRule="exact"/>
        <w:ind w:firstLine="508" w:firstLineChars="200"/>
        <w:jc w:val="center"/>
        <w:textAlignment w:val="auto"/>
        <w:rPr>
          <w:rFonts w:hint="default" w:ascii="Times New Roman" w:hAnsi="Times New Roman" w:eastAsia="楷体_GB2312" w:cs="Times New Roman"/>
          <w:b/>
          <w:spacing w:val="-17"/>
          <w:sz w:val="32"/>
          <w:szCs w:val="32"/>
        </w:rPr>
      </w:pPr>
      <w:r>
        <w:rPr>
          <w:rFonts w:hint="default" w:ascii="Times New Roman" w:hAnsi="Times New Roman" w:eastAsia="方正楷体简体" w:cs="Times New Roman"/>
          <w:spacing w:val="-17"/>
          <w:w w:val="90"/>
          <w:sz w:val="32"/>
          <w:szCs w:val="32"/>
          <w:lang w:eastAsia="zh-CN"/>
        </w:rPr>
        <w:t>——</w:t>
      </w:r>
      <w:r>
        <w:rPr>
          <w:rFonts w:hint="default" w:ascii="Times New Roman" w:hAnsi="Times New Roman" w:eastAsia="楷体" w:cs="Times New Roman"/>
          <w:b/>
          <w:bCs/>
          <w:color w:val="auto"/>
          <w:spacing w:val="-17"/>
          <w:w w:val="98"/>
          <w:sz w:val="32"/>
          <w:szCs w:val="32"/>
          <w:highlight w:val="none"/>
          <w:lang w:eastAsia="zh-CN"/>
        </w:rPr>
        <w:t>202</w:t>
      </w:r>
      <w:r>
        <w:rPr>
          <w:rFonts w:hint="eastAsia" w:ascii="Times New Roman" w:hAnsi="Times New Roman" w:eastAsia="楷体" w:cs="Times New Roman"/>
          <w:b/>
          <w:bCs/>
          <w:color w:val="auto"/>
          <w:spacing w:val="-17"/>
          <w:w w:val="98"/>
          <w:sz w:val="32"/>
          <w:szCs w:val="32"/>
          <w:highlight w:val="none"/>
          <w:lang w:val="en-US" w:eastAsia="zh-CN"/>
        </w:rPr>
        <w:t>4</w:t>
      </w:r>
      <w:r>
        <w:rPr>
          <w:rFonts w:hint="default" w:ascii="Times New Roman" w:hAnsi="Times New Roman" w:eastAsia="楷体_GB2312" w:cs="Times New Roman"/>
          <w:b/>
          <w:bCs/>
          <w:color w:val="auto"/>
          <w:spacing w:val="-17"/>
          <w:w w:val="98"/>
          <w:sz w:val="32"/>
          <w:szCs w:val="32"/>
          <w:highlight w:val="none"/>
        </w:rPr>
        <w:t>年</w:t>
      </w:r>
      <w:r>
        <w:rPr>
          <w:rFonts w:hint="eastAsia" w:ascii="Times New Roman" w:hAnsi="Times New Roman" w:eastAsia="楷体_GB2312" w:cs="Times New Roman"/>
          <w:b/>
          <w:bCs/>
          <w:color w:val="auto"/>
          <w:spacing w:val="-17"/>
          <w:w w:val="98"/>
          <w:sz w:val="32"/>
          <w:szCs w:val="32"/>
          <w:highlight w:val="none"/>
          <w:lang w:val="en-US" w:eastAsia="zh-CN"/>
        </w:rPr>
        <w:t>10</w:t>
      </w:r>
      <w:r>
        <w:rPr>
          <w:rFonts w:hint="default" w:ascii="Times New Roman" w:hAnsi="Times New Roman" w:eastAsia="楷体_GB2312" w:cs="Times New Roman"/>
          <w:b/>
          <w:bCs/>
          <w:color w:val="auto"/>
          <w:spacing w:val="-17"/>
          <w:w w:val="98"/>
          <w:sz w:val="32"/>
          <w:szCs w:val="32"/>
          <w:highlight w:val="none"/>
        </w:rPr>
        <w:t>月</w:t>
      </w:r>
      <w:r>
        <w:rPr>
          <w:rFonts w:hint="eastAsia" w:ascii="Times New Roman" w:hAnsi="Times New Roman" w:eastAsia="楷体_GB2312" w:cs="Times New Roman"/>
          <w:b/>
          <w:bCs/>
          <w:color w:val="auto"/>
          <w:spacing w:val="-17"/>
          <w:w w:val="98"/>
          <w:sz w:val="32"/>
          <w:szCs w:val="32"/>
          <w:highlight w:val="none"/>
          <w:lang w:val="en-US" w:eastAsia="zh-CN"/>
        </w:rPr>
        <w:t>29</w:t>
      </w:r>
      <w:r>
        <w:rPr>
          <w:rFonts w:hint="default" w:ascii="Times New Roman" w:hAnsi="Times New Roman" w:eastAsia="楷体_GB2312" w:cs="Times New Roman"/>
          <w:b/>
          <w:bCs/>
          <w:color w:val="auto"/>
          <w:spacing w:val="-17"/>
          <w:w w:val="98"/>
          <w:sz w:val="32"/>
          <w:szCs w:val="32"/>
          <w:highlight w:val="none"/>
        </w:rPr>
        <w:t>日在县</w:t>
      </w:r>
      <w:r>
        <w:rPr>
          <w:rFonts w:hint="eastAsia" w:ascii="Times New Roman" w:hAnsi="Times New Roman" w:eastAsia="楷体_GB2312" w:cs="Times New Roman"/>
          <w:b/>
          <w:bCs/>
          <w:color w:val="auto"/>
          <w:spacing w:val="-17"/>
          <w:w w:val="98"/>
          <w:sz w:val="32"/>
          <w:szCs w:val="32"/>
          <w:highlight w:val="none"/>
          <w:lang w:val="en-US" w:eastAsia="zh-CN"/>
        </w:rPr>
        <w:t>十七</w:t>
      </w:r>
      <w:r>
        <w:rPr>
          <w:rFonts w:hint="default" w:ascii="Times New Roman" w:hAnsi="Times New Roman" w:eastAsia="楷体_GB2312" w:cs="Times New Roman"/>
          <w:b/>
          <w:bCs/>
          <w:color w:val="auto"/>
          <w:spacing w:val="-17"/>
          <w:w w:val="98"/>
          <w:sz w:val="32"/>
          <w:szCs w:val="32"/>
          <w:highlight w:val="none"/>
        </w:rPr>
        <w:t>届人大常委会第</w:t>
      </w:r>
      <w:r>
        <w:rPr>
          <w:rFonts w:hint="eastAsia" w:ascii="Times New Roman" w:hAnsi="Times New Roman" w:eastAsia="楷体_GB2312" w:cs="Times New Roman"/>
          <w:b/>
          <w:bCs/>
          <w:color w:val="auto"/>
          <w:spacing w:val="-17"/>
          <w:w w:val="98"/>
          <w:sz w:val="32"/>
          <w:szCs w:val="32"/>
          <w:highlight w:val="none"/>
          <w:lang w:eastAsia="zh-CN"/>
        </w:rPr>
        <w:t>二十五</w:t>
      </w:r>
      <w:r>
        <w:rPr>
          <w:rFonts w:hint="default" w:ascii="Times New Roman" w:hAnsi="Times New Roman" w:eastAsia="楷体_GB2312" w:cs="Times New Roman"/>
          <w:b/>
          <w:bCs/>
          <w:color w:val="auto"/>
          <w:spacing w:val="-17"/>
          <w:w w:val="98"/>
          <w:sz w:val="32"/>
          <w:szCs w:val="32"/>
          <w:highlight w:val="none"/>
        </w:rPr>
        <w:t>次会议上</w:t>
      </w:r>
    </w:p>
    <w:p w14:paraId="7F91A1EB">
      <w:pPr>
        <w:keepNext w:val="0"/>
        <w:keepLines w:val="0"/>
        <w:pageBreakBefore w:val="0"/>
        <w:widowControl w:val="0"/>
        <w:kinsoku/>
        <w:wordWrap/>
        <w:overflowPunct/>
        <w:topLinePunct w:val="0"/>
        <w:autoSpaceDE/>
        <w:autoSpaceDN/>
        <w:bidi w:val="0"/>
        <w:adjustRightInd/>
        <w:snapToGrid/>
        <w:spacing w:line="560" w:lineRule="exact"/>
        <w:ind w:firstLine="585" w:firstLineChars="200"/>
        <w:jc w:val="center"/>
        <w:textAlignment w:val="auto"/>
        <w:rPr>
          <w:rFonts w:hint="eastAsia" w:ascii="方正楷体简体" w:eastAsia="方正楷体简体"/>
          <w:sz w:val="32"/>
          <w:szCs w:val="32"/>
          <w:lang w:eastAsia="zh-CN"/>
        </w:rPr>
      </w:pPr>
      <w:r>
        <w:rPr>
          <w:rFonts w:hint="eastAsia" w:ascii="楷体_GB2312" w:hAnsi="楷体_GB2312" w:eastAsia="楷体_GB2312" w:cs="楷体_GB2312"/>
          <w:b/>
          <w:bCs/>
          <w:color w:val="auto"/>
          <w:spacing w:val="-11"/>
          <w:w w:val="98"/>
          <w:sz w:val="32"/>
          <w:szCs w:val="32"/>
          <w:highlight w:val="none"/>
        </w:rPr>
        <w:t>县财政局局长</w:t>
      </w:r>
      <w:r>
        <w:rPr>
          <w:rFonts w:hint="eastAsia" w:ascii="楷体_GB2312" w:hAnsi="楷体_GB2312" w:eastAsia="楷体_GB2312" w:cs="楷体_GB2312"/>
          <w:b/>
          <w:bCs/>
          <w:color w:val="auto"/>
          <w:spacing w:val="-11"/>
          <w:w w:val="98"/>
          <w:sz w:val="32"/>
          <w:szCs w:val="32"/>
          <w:highlight w:val="none"/>
          <w:lang w:val="en-US" w:eastAsia="zh-CN"/>
        </w:rPr>
        <w:t xml:space="preserve">   </w:t>
      </w:r>
      <w:r>
        <w:rPr>
          <w:rFonts w:hint="eastAsia" w:ascii="楷体_GB2312" w:hAnsi="楷体_GB2312" w:eastAsia="楷体_GB2312" w:cs="楷体_GB2312"/>
          <w:b/>
          <w:bCs/>
          <w:color w:val="auto"/>
          <w:spacing w:val="-11"/>
          <w:w w:val="98"/>
          <w:sz w:val="32"/>
          <w:szCs w:val="32"/>
          <w:highlight w:val="none"/>
          <w:lang w:eastAsia="zh-CN"/>
        </w:rPr>
        <w:t>陈小平</w:t>
      </w:r>
    </w:p>
    <w:p w14:paraId="3FA016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s="仿宋"/>
          <w:sz w:val="32"/>
          <w:szCs w:val="32"/>
        </w:rPr>
      </w:pPr>
    </w:p>
    <w:p w14:paraId="1785BD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主任，各位副主任、委员：</w:t>
      </w:r>
    </w:p>
    <w:p w14:paraId="435799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县人大常委会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听取和审议县人民政府关于</w:t>
      </w:r>
      <w:r>
        <w:rPr>
          <w:rFonts w:hint="default" w:ascii="Times New Roman" w:hAnsi="Times New Roman" w:eastAsia="仿宋_GB2312" w:cs="Times New Roman"/>
          <w:sz w:val="32"/>
          <w:szCs w:val="32"/>
          <w:highlight w:val="none"/>
          <w:lang w:val="en-US" w:eastAsia="zh-CN"/>
        </w:rPr>
        <w:t>2023年度全县国有资产管理情况综合报告与全县企业国有资产管理情况专项报告的方案</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rPr>
        <w:t>求，受县人民政府委托，我向本次会议报告我县</w:t>
      </w:r>
      <w:r>
        <w:rPr>
          <w:rFonts w:hint="default" w:ascii="Times New Roman" w:hAnsi="Times New Roman" w:eastAsia="仿宋_GB2312" w:cs="Times New Roman"/>
          <w:sz w:val="32"/>
          <w:szCs w:val="32"/>
          <w:lang w:eastAsia="zh-CN"/>
        </w:rPr>
        <w:t>企业国有资产管理情况</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eastAsia="zh-CN"/>
        </w:rPr>
        <w:t>予以</w:t>
      </w:r>
      <w:r>
        <w:rPr>
          <w:rFonts w:hint="default" w:ascii="Times New Roman" w:hAnsi="Times New Roman" w:eastAsia="仿宋_GB2312" w:cs="Times New Roman"/>
          <w:sz w:val="32"/>
          <w:szCs w:val="32"/>
        </w:rPr>
        <w:t>审议。</w:t>
      </w:r>
    </w:p>
    <w:p w14:paraId="56FD37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基本情况</w:t>
      </w:r>
    </w:p>
    <w:p w14:paraId="1E91D6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截止2023年末，全县纳入报告范围的县属国有企业共计</w:t>
      </w:r>
      <w:r>
        <w:rPr>
          <w:rFonts w:hint="eastAsia" w:ascii="Times New Roman" w:hAnsi="Times New Roman" w:eastAsia="仿宋_GB2312" w:cs="Times New Roman"/>
          <w:sz w:val="32"/>
          <w:szCs w:val="32"/>
          <w:highlight w:val="none"/>
          <w:lang w:val="en-US" w:eastAsia="zh-CN"/>
        </w:rPr>
        <w:t>62</w:t>
      </w:r>
      <w:r>
        <w:rPr>
          <w:rFonts w:hint="default" w:ascii="Times New Roman" w:hAnsi="Times New Roman" w:eastAsia="仿宋_GB2312" w:cs="Times New Roman"/>
          <w:sz w:val="32"/>
          <w:szCs w:val="32"/>
          <w:highlight w:val="none"/>
          <w:lang w:val="en-US" w:eastAsia="zh-CN"/>
        </w:rPr>
        <w:t>户（含</w:t>
      </w:r>
      <w:r>
        <w:rPr>
          <w:rFonts w:hint="eastAsia" w:ascii="Times New Roman" w:hAnsi="Times New Roman" w:eastAsia="仿宋_GB2312" w:cs="Times New Roman"/>
          <w:sz w:val="32"/>
          <w:szCs w:val="32"/>
          <w:highlight w:val="none"/>
          <w:lang w:val="en-US" w:eastAsia="zh-CN"/>
        </w:rPr>
        <w:t>弋投集团下属一二三级公司及</w:t>
      </w:r>
      <w:r>
        <w:rPr>
          <w:rFonts w:hint="default" w:ascii="Times New Roman" w:hAnsi="Times New Roman" w:eastAsia="仿宋_GB2312" w:cs="Times New Roman"/>
          <w:sz w:val="32"/>
          <w:szCs w:val="32"/>
          <w:highlight w:val="none"/>
          <w:lang w:val="en-US" w:eastAsia="zh-CN"/>
        </w:rPr>
        <w:t>国有金融企业）。</w:t>
      </w:r>
    </w:p>
    <w:p w14:paraId="028887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（一）企业国有资产总量情况</w:t>
      </w:r>
    </w:p>
    <w:p w14:paraId="3A5A32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sz w:val="32"/>
          <w:szCs w:val="32"/>
          <w:lang w:eastAsia="zh-CN"/>
        </w:rPr>
        <w:t>年末，企业国有资产总额</w:t>
      </w:r>
      <w:r>
        <w:rPr>
          <w:rFonts w:hint="default" w:ascii="Times New Roman" w:hAnsi="Times New Roman" w:eastAsia="仿宋_GB2312" w:cs="Times New Roman"/>
          <w:b w:val="0"/>
          <w:bCs w:val="0"/>
          <w:color w:val="auto"/>
          <w:sz w:val="32"/>
          <w:szCs w:val="32"/>
          <w:highlight w:val="none"/>
          <w:lang w:val="en-US" w:eastAsia="zh-CN"/>
        </w:rPr>
        <w:t>410.19</w:t>
      </w:r>
      <w:r>
        <w:rPr>
          <w:rFonts w:hint="default" w:ascii="Times New Roman" w:hAnsi="Times New Roman" w:eastAsia="仿宋_GB2312" w:cs="Times New Roman"/>
          <w:sz w:val="32"/>
          <w:szCs w:val="32"/>
          <w:lang w:eastAsia="zh-CN"/>
        </w:rPr>
        <w:t>亿元，同比增长</w:t>
      </w:r>
      <w:r>
        <w:rPr>
          <w:rFonts w:hint="default" w:ascii="Times New Roman" w:hAnsi="Times New Roman" w:eastAsia="仿宋_GB2312" w:cs="Times New Roman"/>
          <w:sz w:val="32"/>
          <w:szCs w:val="32"/>
          <w:lang w:val="en-US" w:eastAsia="zh-CN"/>
        </w:rPr>
        <w:t>16.27%，</w:t>
      </w:r>
      <w:r>
        <w:rPr>
          <w:rFonts w:hint="default" w:ascii="Times New Roman" w:hAnsi="Times New Roman" w:eastAsia="仿宋_GB2312" w:cs="Times New Roman"/>
          <w:sz w:val="32"/>
          <w:szCs w:val="32"/>
          <w:lang w:eastAsia="zh-CN"/>
        </w:rPr>
        <w:t>负债总额</w:t>
      </w:r>
      <w:r>
        <w:rPr>
          <w:rFonts w:hint="default" w:ascii="Times New Roman" w:hAnsi="Times New Roman" w:eastAsia="仿宋_GB2312" w:cs="Times New Roman"/>
          <w:b w:val="0"/>
          <w:bCs w:val="0"/>
          <w:color w:val="auto"/>
          <w:sz w:val="32"/>
          <w:szCs w:val="32"/>
          <w:highlight w:val="none"/>
          <w:lang w:val="en-US" w:eastAsia="zh-CN"/>
        </w:rPr>
        <w:t>206.5</w:t>
      </w:r>
      <w:r>
        <w:rPr>
          <w:rFonts w:hint="default" w:ascii="Times New Roman" w:hAnsi="Times New Roman" w:eastAsia="仿宋_GB2312" w:cs="Times New Roman"/>
          <w:sz w:val="32"/>
          <w:szCs w:val="32"/>
          <w:lang w:eastAsia="zh-CN"/>
        </w:rPr>
        <w:t>亿元，同比增长</w:t>
      </w:r>
      <w:r>
        <w:rPr>
          <w:rFonts w:hint="default" w:ascii="Times New Roman" w:hAnsi="Times New Roman" w:eastAsia="仿宋_GB2312" w:cs="Times New Roman"/>
          <w:sz w:val="32"/>
          <w:szCs w:val="32"/>
          <w:lang w:val="en-US" w:eastAsia="zh-CN"/>
        </w:rPr>
        <w:t>21.71%，</w:t>
      </w:r>
      <w:r>
        <w:rPr>
          <w:rFonts w:hint="default" w:ascii="Times New Roman" w:hAnsi="Times New Roman" w:eastAsia="仿宋_GB2312" w:cs="Times New Roman"/>
          <w:sz w:val="32"/>
          <w:szCs w:val="32"/>
          <w:lang w:eastAsia="zh-CN"/>
        </w:rPr>
        <w:t>资产负债率</w:t>
      </w:r>
      <w:r>
        <w:rPr>
          <w:rFonts w:hint="default" w:ascii="Times New Roman" w:hAnsi="Times New Roman" w:eastAsia="仿宋_GB2312" w:cs="Times New Roman"/>
          <w:b w:val="0"/>
          <w:bCs w:val="0"/>
          <w:color w:val="auto"/>
          <w:sz w:val="32"/>
          <w:szCs w:val="32"/>
          <w:highlight w:val="none"/>
          <w:lang w:val="en-US" w:eastAsia="zh-CN"/>
        </w:rPr>
        <w:t>50.34%</w:t>
      </w:r>
      <w:r>
        <w:rPr>
          <w:rFonts w:hint="default" w:ascii="Times New Roman" w:hAnsi="Times New Roman" w:eastAsia="仿宋_GB2312" w:cs="Times New Roman"/>
          <w:sz w:val="32"/>
          <w:szCs w:val="32"/>
          <w:lang w:eastAsia="zh-CN"/>
        </w:rPr>
        <w:t>；所有者权益</w:t>
      </w:r>
      <w:r>
        <w:rPr>
          <w:rFonts w:hint="default" w:ascii="Times New Roman" w:hAnsi="Times New Roman" w:eastAsia="仿宋_GB2312" w:cs="Times New Roman"/>
          <w:b w:val="0"/>
          <w:bCs w:val="0"/>
          <w:color w:val="auto"/>
          <w:sz w:val="32"/>
          <w:szCs w:val="32"/>
          <w:highlight w:val="none"/>
          <w:lang w:val="en-US" w:eastAsia="zh-CN"/>
        </w:rPr>
        <w:t>203.6</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sz w:val="32"/>
          <w:szCs w:val="32"/>
          <w:lang w:eastAsia="zh-CN"/>
        </w:rPr>
        <w:t>亿元。</w:t>
      </w:r>
    </w:p>
    <w:p w14:paraId="7B11863E">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lang w:val="en-US" w:eastAsia="zh-CN"/>
        </w:rPr>
        <w:t>按资产类别分：流动资产316.62亿元，占资产总额的77.18%；固定资产7.96亿元，占资产总额的1.94%；长期股权及其他权益工具投资38.36亿元，占资产总额的9.35%；在建工程18.23亿元，占资产总额的4.45%；无形资产23.29亿元，占资产总额的5.68%，其他资产5.73亿元，占资产总额的1.4%。</w:t>
      </w:r>
    </w:p>
    <w:p w14:paraId="38F140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sz w:val="32"/>
          <w:szCs w:val="32"/>
          <w:lang w:eastAsia="zh-CN"/>
        </w:rPr>
        <w:t>年末，全县国有企业实现营业收入</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eastAsia="zh-CN"/>
        </w:rPr>
        <w:t>亿元，同比</w:t>
      </w:r>
      <w:r>
        <w:rPr>
          <w:rFonts w:hint="eastAsia" w:ascii="Times New Roman" w:hAnsi="Times New Roman" w:eastAsia="仿宋_GB2312" w:cs="Times New Roman"/>
          <w:sz w:val="32"/>
          <w:szCs w:val="32"/>
          <w:lang w:eastAsia="zh-CN"/>
        </w:rPr>
        <w:t>净</w:t>
      </w:r>
      <w:r>
        <w:rPr>
          <w:rFonts w:hint="default" w:ascii="Times New Roman" w:hAnsi="Times New Roman" w:eastAsia="仿宋_GB2312" w:cs="Times New Roman"/>
          <w:sz w:val="32"/>
          <w:szCs w:val="32"/>
          <w:lang w:eastAsia="zh-CN"/>
        </w:rPr>
        <w:t>增0.99亿元，实现净利润1.6</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亿元，同比下降15.</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u w:val="none"/>
          <w:lang w:val="en-US" w:eastAsia="zh-CN" w:bidi="ar-SA"/>
        </w:rPr>
        <w:t>2023年共上缴各项税款0.37亿元，</w:t>
      </w:r>
      <w:r>
        <w:rPr>
          <w:rFonts w:hint="eastAsia" w:ascii="Times New Roman" w:hAnsi="Times New Roman" w:eastAsia="仿宋_GB2312" w:cs="Times New Roman"/>
          <w:kern w:val="2"/>
          <w:sz w:val="32"/>
          <w:szCs w:val="32"/>
          <w:u w:val="none"/>
          <w:lang w:val="en-US" w:eastAsia="zh-CN" w:bidi="ar-SA"/>
        </w:rPr>
        <w:t>同比</w:t>
      </w:r>
      <w:r>
        <w:rPr>
          <w:rFonts w:hint="default" w:ascii="Times New Roman" w:hAnsi="Times New Roman" w:eastAsia="仿宋_GB2312" w:cs="Times New Roman"/>
          <w:kern w:val="2"/>
          <w:sz w:val="32"/>
          <w:szCs w:val="32"/>
          <w:u w:val="none"/>
          <w:lang w:val="en-US" w:eastAsia="zh-CN" w:bidi="ar-SA"/>
        </w:rPr>
        <w:t>下降</w:t>
      </w:r>
      <w:r>
        <w:rPr>
          <w:rFonts w:hint="eastAsia" w:ascii="Times New Roman" w:hAnsi="Times New Roman" w:eastAsia="仿宋_GB2312" w:cs="Times New Roman"/>
          <w:kern w:val="2"/>
          <w:sz w:val="32"/>
          <w:szCs w:val="32"/>
          <w:u w:val="none"/>
          <w:lang w:val="en-US" w:eastAsia="zh-CN" w:bidi="ar-SA"/>
        </w:rPr>
        <w:t>38.3%。</w:t>
      </w:r>
    </w:p>
    <w:p w14:paraId="11F92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（二）国有资本布局投向情况</w:t>
      </w:r>
    </w:p>
    <w:p w14:paraId="11736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全县国有资本主要投向于城市基础设施建设、文化旅游、现代农业等行业，2023年主要涉及园区开发、便民服务中心建设、龟峰旅游基础设施配套、大东山矿山工程等项目建设。</w:t>
      </w:r>
    </w:p>
    <w:p w14:paraId="6C9EDC9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国有资本经营预算情况</w:t>
      </w:r>
    </w:p>
    <w:p w14:paraId="5708C9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sz w:val="32"/>
          <w:szCs w:val="32"/>
          <w:lang w:val="en-US" w:eastAsia="zh-CN"/>
        </w:rPr>
        <w:t>2023年全县</w:t>
      </w:r>
      <w:r>
        <w:rPr>
          <w:rFonts w:hint="eastAsia" w:ascii="Times New Roman" w:hAnsi="Times New Roman" w:eastAsia="仿宋_GB2312" w:cs="Times New Roman"/>
          <w:b w:val="0"/>
          <w:bCs w:val="0"/>
          <w:sz w:val="32"/>
          <w:szCs w:val="32"/>
          <w:lang w:val="en-US" w:eastAsia="zh-CN"/>
        </w:rPr>
        <w:t>国有资本经营收入预算数</w:t>
      </w:r>
      <w:r>
        <w:rPr>
          <w:rFonts w:hint="eastAsia" w:ascii="Times New Roman" w:hAnsi="Times New Roman" w:eastAsia="仿宋_GB2312" w:cs="Times New Roman"/>
          <w:b w:val="0"/>
          <w:bCs w:val="0"/>
          <w:sz w:val="32"/>
          <w:szCs w:val="32"/>
          <w:highlight w:val="none"/>
          <w:lang w:val="en-US" w:eastAsia="zh-CN"/>
        </w:rPr>
        <w:t>3011万元，</w:t>
      </w:r>
      <w:r>
        <w:rPr>
          <w:rFonts w:hint="eastAsia" w:ascii="Times New Roman" w:hAnsi="Times New Roman" w:eastAsia="仿宋_GB2312" w:cs="Times New Roman"/>
          <w:b w:val="0"/>
          <w:bCs w:val="0"/>
          <w:sz w:val="32"/>
          <w:szCs w:val="32"/>
          <w:lang w:val="en-US" w:eastAsia="zh-CN"/>
        </w:rPr>
        <w:t>执行数2418万元。</w:t>
      </w:r>
      <w:r>
        <w:rPr>
          <w:rFonts w:hint="eastAsia" w:ascii="Times New Roman" w:hAnsi="Times New Roman" w:eastAsia="仿宋_GB2312" w:cs="Times New Roman"/>
          <w:sz w:val="32"/>
          <w:szCs w:val="32"/>
          <w:lang w:val="en-US" w:eastAsia="zh-CN"/>
        </w:rPr>
        <w:t>全县</w:t>
      </w:r>
      <w:r>
        <w:rPr>
          <w:rFonts w:hint="eastAsia" w:ascii="Times New Roman" w:hAnsi="Times New Roman" w:eastAsia="仿宋_GB2312" w:cs="Times New Roman"/>
          <w:b w:val="0"/>
          <w:bCs w:val="0"/>
          <w:sz w:val="32"/>
          <w:szCs w:val="32"/>
          <w:lang w:val="en-US" w:eastAsia="zh-CN"/>
        </w:rPr>
        <w:t>国有资本经营支出预</w:t>
      </w:r>
      <w:r>
        <w:rPr>
          <w:rFonts w:hint="eastAsia" w:ascii="Times New Roman" w:hAnsi="Times New Roman" w:eastAsia="仿宋_GB2312" w:cs="Times New Roman"/>
          <w:b w:val="0"/>
          <w:bCs w:val="0"/>
          <w:sz w:val="32"/>
          <w:szCs w:val="32"/>
          <w:highlight w:val="none"/>
          <w:lang w:val="en-US" w:eastAsia="zh-CN"/>
        </w:rPr>
        <w:t>算数3011万元</w:t>
      </w:r>
      <w:r>
        <w:rPr>
          <w:rFonts w:hint="eastAsia" w:ascii="Times New Roman" w:hAnsi="Times New Roman" w:eastAsia="仿宋_GB2312" w:cs="Times New Roman"/>
          <w:b w:val="0"/>
          <w:bCs w:val="0"/>
          <w:sz w:val="32"/>
          <w:szCs w:val="32"/>
          <w:lang w:val="en-US" w:eastAsia="zh-CN"/>
        </w:rPr>
        <w:t>，执行数2418万元。</w:t>
      </w:r>
      <w:r>
        <w:rPr>
          <w:rFonts w:hint="eastAsia" w:ascii="Times New Roman" w:hAnsi="Times New Roman" w:eastAsia="仿宋_GB2312" w:cs="Times New Roman"/>
          <w:b w:val="0"/>
          <w:bCs w:val="0"/>
          <w:sz w:val="32"/>
          <w:szCs w:val="32"/>
          <w:highlight w:val="none"/>
          <w:lang w:val="en-US" w:eastAsia="zh-CN"/>
        </w:rPr>
        <w:t>2024年全县国有资本经营收入预算数3848 万元，同比增长27.8%；支出预算数3848万元，同比增长27.8%。</w:t>
      </w:r>
    </w:p>
    <w:p w14:paraId="10672B1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二、企业国有资产管理情况</w:t>
      </w:r>
    </w:p>
    <w:p w14:paraId="38DCF09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深化国企改革，提高改革攻坚成效。</w:t>
      </w:r>
    </w:p>
    <w:p w14:paraId="090E20DA">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.加强党建治理融合。</w:t>
      </w:r>
      <w:r>
        <w:rPr>
          <w:rFonts w:hint="default" w:ascii="Times New Roman" w:hAnsi="Times New Roman" w:eastAsia="仿宋_GB2312" w:cs="Times New Roman"/>
          <w:b w:val="0"/>
          <w:bCs w:val="0"/>
          <w:sz w:val="32"/>
          <w:szCs w:val="32"/>
          <w:lang w:val="en-US" w:eastAsia="zh-CN"/>
        </w:rPr>
        <w:t>坚持党对国有企业的全面领导</w:t>
      </w:r>
      <w:r>
        <w:rPr>
          <w:rFonts w:hint="eastAsia" w:ascii="Times New Roman" w:hAnsi="Times New Roman" w:eastAsia="仿宋_GB2312" w:cs="Times New Roman"/>
          <w:b w:val="0"/>
          <w:bCs w:val="0"/>
          <w:sz w:val="32"/>
          <w:szCs w:val="32"/>
          <w:lang w:val="en-US" w:eastAsia="zh-CN"/>
        </w:rPr>
        <w:t>，出台了《关于县属国有企业在完善公司治理结构中加强党的领导的意见》</w:t>
      </w:r>
      <w:r>
        <w:rPr>
          <w:rFonts w:hint="eastAsia" w:ascii="仿宋_GB2312" w:hAnsi="仿宋_GB2312" w:eastAsia="仿宋_GB2312" w:cs="仿宋_GB2312"/>
          <w:color w:val="auto"/>
          <w:kern w:val="2"/>
          <w:sz w:val="32"/>
          <w:szCs w:val="32"/>
          <w:lang w:val="en-US" w:eastAsia="zh-CN" w:bidi="ar-SA"/>
        </w:rPr>
        <w:t>文件</w:t>
      </w:r>
      <w:r>
        <w:rPr>
          <w:rFonts w:hint="eastAsia" w:ascii="Times New Roman" w:hAnsi="Times New Roman" w:eastAsia="仿宋_GB2312" w:cs="Times New Roman"/>
          <w:b w:val="0"/>
          <w:bCs w:val="0"/>
          <w:sz w:val="32"/>
          <w:szCs w:val="32"/>
          <w:lang w:val="en-US" w:eastAsia="zh-CN"/>
        </w:rPr>
        <w:t>，明确了党委在国有企业治理结构中的法定定位，全面建立实施了“第一议题”制度，同时推动国有企业</w:t>
      </w:r>
      <w:r>
        <w:rPr>
          <w:rFonts w:hint="default" w:ascii="Times New Roman" w:hAnsi="Times New Roman" w:eastAsia="仿宋_GB2312" w:cs="Times New Roman"/>
          <w:b w:val="0"/>
          <w:bCs w:val="0"/>
          <w:sz w:val="32"/>
          <w:szCs w:val="32"/>
          <w:lang w:val="en-US" w:eastAsia="zh-CN"/>
        </w:rPr>
        <w:t>制定出台了党委前置研究清单、党委会议事规则等系列制度，完善了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决策机制，将党的领导融入公司治理</w:t>
      </w:r>
      <w:r>
        <w:rPr>
          <w:rFonts w:hint="eastAsia"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b w:val="0"/>
          <w:bCs w:val="0"/>
          <w:sz w:val="32"/>
          <w:szCs w:val="32"/>
          <w:lang w:val="en-US" w:eastAsia="zh-CN"/>
        </w:rPr>
        <w:t>业务发展等各个环节。</w:t>
      </w:r>
      <w:r>
        <w:rPr>
          <w:rFonts w:hint="eastAsia" w:ascii="Times New Roman" w:hAnsi="Times New Roman" w:eastAsia="仿宋_GB2312" w:cs="Times New Roman"/>
          <w:b w:val="0"/>
          <w:bCs w:val="0"/>
          <w:sz w:val="32"/>
          <w:szCs w:val="32"/>
          <w:lang w:val="en-US" w:eastAsia="zh-CN"/>
        </w:rPr>
        <w:t>并</w:t>
      </w:r>
      <w:r>
        <w:rPr>
          <w:rFonts w:hint="default" w:ascii="Times New Roman" w:hAnsi="Times New Roman" w:eastAsia="仿宋_GB2312" w:cs="Times New Roman"/>
          <w:b w:val="0"/>
          <w:bCs w:val="0"/>
          <w:sz w:val="32"/>
          <w:szCs w:val="32"/>
          <w:lang w:val="en-US" w:eastAsia="zh-CN"/>
        </w:rPr>
        <w:t>将国企党建及</w:t>
      </w:r>
      <w:r>
        <w:rPr>
          <w:rFonts w:hint="eastAsia" w:ascii="Times New Roman" w:hAnsi="Times New Roman" w:eastAsia="仿宋_GB2312" w:cs="Times New Roman"/>
          <w:b w:val="0"/>
          <w:bCs w:val="0"/>
          <w:sz w:val="32"/>
          <w:szCs w:val="32"/>
          <w:lang w:val="en-US" w:eastAsia="zh-CN"/>
        </w:rPr>
        <w:t>党风廉政建设</w:t>
      </w:r>
      <w:r>
        <w:rPr>
          <w:rFonts w:hint="default" w:ascii="Times New Roman" w:hAnsi="Times New Roman" w:eastAsia="仿宋_GB2312" w:cs="Times New Roman"/>
          <w:b w:val="0"/>
          <w:bCs w:val="0"/>
          <w:sz w:val="32"/>
          <w:szCs w:val="32"/>
          <w:lang w:val="en-US" w:eastAsia="zh-CN"/>
        </w:rPr>
        <w:t>纳入经营业绩考核指标内，细化了考核任务，量化了考核标准，确保国企党建工作落到实处。</w:t>
      </w:r>
    </w:p>
    <w:p w14:paraId="66A743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完善现代化企业治理。</w:t>
      </w:r>
      <w:r>
        <w:rPr>
          <w:rFonts w:hint="eastAsia" w:ascii="Times New Roman" w:hAnsi="Times New Roman" w:eastAsia="仿宋_GB2312" w:cs="Times New Roman"/>
          <w:b w:val="0"/>
          <w:bCs w:val="0"/>
          <w:sz w:val="32"/>
          <w:szCs w:val="32"/>
          <w:lang w:val="en-US" w:eastAsia="zh-CN"/>
        </w:rPr>
        <w:t>完善董事会建设，</w:t>
      </w:r>
      <w:r>
        <w:rPr>
          <w:rFonts w:hint="eastAsia" w:ascii="仿宋_GB2312" w:hAnsi="仿宋_GB2312" w:eastAsia="仿宋_GB2312" w:cs="仿宋_GB2312"/>
          <w:b w:val="0"/>
          <w:bCs w:val="0"/>
          <w:sz w:val="32"/>
          <w:szCs w:val="32"/>
          <w:lang w:val="en-US" w:eastAsia="zh-CN"/>
        </w:rPr>
        <w:t>坚持</w:t>
      </w:r>
      <w:r>
        <w:rPr>
          <w:rFonts w:hint="eastAsia" w:ascii="仿宋_GB2312" w:hAnsi="仿宋_GB2312" w:eastAsia="仿宋_GB2312" w:cs="仿宋_GB2312"/>
          <w:sz w:val="32"/>
          <w:szCs w:val="32"/>
          <w:lang w:val="en-US" w:eastAsia="zh-CN"/>
        </w:rPr>
        <w:t>高标准、科学配置原则，配齐配强董事会队伍，现弋投集团董事会成员共</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名，兴弋融资担保公司董事会成员共</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名，城市发展公司董事会成员共</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名，全面保障董事会履职能力。</w:t>
      </w:r>
      <w:r>
        <w:rPr>
          <w:rFonts w:hint="default" w:ascii="Times New Roman" w:hAnsi="Times New Roman" w:eastAsia="仿宋_GB2312" w:cs="Times New Roman"/>
          <w:b w:val="0"/>
          <w:bCs w:val="0"/>
          <w:sz w:val="32"/>
          <w:szCs w:val="32"/>
          <w:lang w:val="en-US" w:eastAsia="zh-CN"/>
        </w:rPr>
        <w:t>以企业法人治理提升和市场化经营机制专项行动为抓手，</w:t>
      </w:r>
      <w:r>
        <w:rPr>
          <w:rFonts w:hint="eastAsia" w:ascii="Times New Roman" w:hAnsi="Times New Roman" w:eastAsia="仿宋_GB2312" w:cs="Times New Roman"/>
          <w:b w:val="0"/>
          <w:bCs w:val="0"/>
          <w:sz w:val="32"/>
          <w:szCs w:val="32"/>
          <w:lang w:val="en-US" w:eastAsia="zh-CN"/>
        </w:rPr>
        <w:t>推动弋投集团</w:t>
      </w:r>
      <w:r>
        <w:rPr>
          <w:rFonts w:hint="default" w:ascii="Times New Roman" w:hAnsi="Times New Roman" w:eastAsia="仿宋_GB2312" w:cs="Times New Roman"/>
          <w:b w:val="0"/>
          <w:bCs w:val="0"/>
          <w:sz w:val="32"/>
          <w:szCs w:val="32"/>
          <w:lang w:val="en-US" w:eastAsia="zh-CN"/>
        </w:rPr>
        <w:t>制定</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公司章程及党委会、董事会、总经理办公会等议事规则，进一步明确公司决策机构、执行机构的职责范围</w:t>
      </w:r>
      <w:r>
        <w:rPr>
          <w:rFonts w:hint="default" w:ascii="Times New Roman" w:hAnsi="Times New Roman" w:eastAsia="仿宋_GB2312" w:cs="Times New Roman"/>
          <w:sz w:val="32"/>
          <w:szCs w:val="32"/>
          <w:lang w:val="en-US" w:eastAsia="zh-CN"/>
        </w:rPr>
        <w:t>。深化三项制度改革，</w:t>
      </w:r>
      <w:r>
        <w:rPr>
          <w:rFonts w:hint="default" w:ascii="Times New Roman" w:hAnsi="Times New Roman" w:eastAsia="仿宋_GB2312" w:cs="Times New Roman"/>
          <w:b w:val="0"/>
          <w:bCs w:val="0"/>
          <w:sz w:val="32"/>
          <w:szCs w:val="32"/>
          <w:lang w:val="en-US" w:eastAsia="zh-CN"/>
        </w:rPr>
        <w:t>优化工资总额管理，推进弋投集团</w:t>
      </w:r>
      <w:r>
        <w:rPr>
          <w:rFonts w:hint="default" w:ascii="Times New Roman" w:hAnsi="Times New Roman" w:eastAsia="仿宋_GB2312" w:cs="Times New Roman"/>
          <w:sz w:val="32"/>
          <w:szCs w:val="32"/>
          <w:lang w:val="en-US" w:eastAsia="zh-CN"/>
        </w:rPr>
        <w:t>制定了《关于弋投集团</w:t>
      </w:r>
      <w:r>
        <w:rPr>
          <w:rFonts w:hint="default" w:ascii="Times New Roman" w:hAnsi="Times New Roman" w:eastAsia="仿宋_GB2312" w:cs="Times New Roman"/>
          <w:b w:val="0"/>
          <w:bCs w:val="0"/>
          <w:kern w:val="2"/>
          <w:sz w:val="32"/>
          <w:szCs w:val="32"/>
          <w:lang w:val="en-US" w:eastAsia="zh-CN" w:bidi="ar-SA"/>
        </w:rPr>
        <w:t>2023</w:t>
      </w:r>
      <w:r>
        <w:rPr>
          <w:rFonts w:hint="default" w:ascii="Times New Roman" w:hAnsi="Times New Roman" w:eastAsia="仿宋_GB2312" w:cs="Times New Roman"/>
          <w:sz w:val="32"/>
          <w:szCs w:val="32"/>
          <w:lang w:val="en-US" w:eastAsia="zh-CN"/>
        </w:rPr>
        <w:t>年度工资总额计划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弋投集团年度优秀部门及先进工作者评选管理办法（试行）》等制度，进一步完善</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考核机制，实</w:t>
      </w:r>
      <w:r>
        <w:rPr>
          <w:rFonts w:hint="eastAsia" w:ascii="Times New Roman" w:hAnsi="Times New Roman" w:eastAsia="仿宋_GB2312" w:cs="Times New Roman"/>
          <w:sz w:val="32"/>
          <w:szCs w:val="32"/>
          <w:lang w:val="en-US" w:eastAsia="zh-CN"/>
        </w:rPr>
        <w:t>现了企业内部</w:t>
      </w:r>
      <w:r>
        <w:rPr>
          <w:rFonts w:hint="default" w:ascii="Times New Roman" w:hAnsi="Times New Roman" w:eastAsia="仿宋_GB2312" w:cs="Times New Roman"/>
          <w:sz w:val="32"/>
          <w:szCs w:val="32"/>
          <w:lang w:val="en-US" w:eastAsia="zh-CN"/>
        </w:rPr>
        <w:t>工资总额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分级分类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管理，充分激发</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骨干员工、技术创新人员</w:t>
      </w:r>
      <w:r>
        <w:rPr>
          <w:rFonts w:hint="eastAsia" w:ascii="Times New Roman" w:hAnsi="Times New Roman" w:eastAsia="仿宋_GB2312" w:cs="Times New Roman"/>
          <w:sz w:val="32"/>
          <w:szCs w:val="32"/>
          <w:lang w:val="en-US" w:eastAsia="zh-CN"/>
        </w:rPr>
        <w:t>干事创业积极性</w:t>
      </w:r>
      <w:r>
        <w:rPr>
          <w:rFonts w:hint="default" w:ascii="Times New Roman" w:hAnsi="Times New Roman" w:eastAsia="仿宋_GB2312" w:cs="Times New Roman"/>
          <w:sz w:val="32"/>
          <w:szCs w:val="32"/>
          <w:lang w:val="en-US" w:eastAsia="zh-CN"/>
        </w:rPr>
        <w:t>。</w:t>
      </w:r>
    </w:p>
    <w:p w14:paraId="069E7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纵深推进县属子企业改革。</w:t>
      </w:r>
      <w:r>
        <w:rPr>
          <w:rFonts w:hint="default" w:ascii="Times New Roman" w:hAnsi="Times New Roman" w:eastAsia="仿宋_GB2312" w:cs="Times New Roman"/>
          <w:sz w:val="32"/>
          <w:szCs w:val="32"/>
          <w:lang w:val="en-US" w:eastAsia="zh-CN"/>
        </w:rPr>
        <w:t>聚焦主责主业，结合弋投集团主业定位，</w:t>
      </w:r>
      <w:r>
        <w:rPr>
          <w:rFonts w:hint="eastAsia" w:ascii="Times New Roman" w:hAnsi="Times New Roman" w:eastAsia="仿宋_GB2312" w:cs="Times New Roman"/>
          <w:sz w:val="32"/>
          <w:szCs w:val="32"/>
          <w:lang w:val="en-US" w:eastAsia="zh-CN"/>
        </w:rPr>
        <w:t>按照“全面铺开、重点推进”的原则，</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其下属</w:t>
      </w:r>
      <w:r>
        <w:rPr>
          <w:rFonts w:hint="default" w:ascii="Times New Roman" w:hAnsi="Times New Roman" w:eastAsia="仿宋_GB2312" w:cs="Times New Roman"/>
          <w:sz w:val="32"/>
          <w:szCs w:val="32"/>
          <w:lang w:val="en-US" w:eastAsia="zh-CN"/>
        </w:rPr>
        <w:t>各子</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的相同业务板块、资产资源进行整合，</w:t>
      </w:r>
      <w:r>
        <w:rPr>
          <w:rFonts w:hint="eastAsia" w:ascii="Times New Roman" w:hAnsi="Times New Roman" w:eastAsia="仿宋_GB2312" w:cs="Times New Roman"/>
          <w:sz w:val="32"/>
          <w:szCs w:val="32"/>
          <w:lang w:val="en-US" w:eastAsia="zh-CN"/>
        </w:rPr>
        <w:t>构建了“城投公司主营国土经营和城市投资开发”“铁投公司主营高铁片区地块投资”“城投服务公司主营资产租赁”“绿投公司主营乡村振兴”等子公司业务板块，集成业务、资源优势办大事</w:t>
      </w:r>
      <w:r>
        <w:rPr>
          <w:rFonts w:hint="default" w:ascii="Times New Roman" w:hAnsi="Times New Roman" w:eastAsia="仿宋_GB2312" w:cs="Times New Roman"/>
          <w:sz w:val="32"/>
          <w:szCs w:val="32"/>
          <w:lang w:val="en-US" w:eastAsia="zh-CN"/>
        </w:rPr>
        <w:t>。</w:t>
      </w:r>
    </w:p>
    <w:p w14:paraId="73412B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lang w:val="en-US" w:eastAsia="zh-CN"/>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推动产业工人队伍建设改革。</w:t>
      </w:r>
      <w:r>
        <w:rPr>
          <w:rFonts w:hint="default" w:ascii="Times New Roman" w:hAnsi="Times New Roman" w:eastAsia="仿宋_GB2312" w:cs="Times New Roman"/>
          <w:b w:val="0"/>
          <w:bCs w:val="0"/>
          <w:sz w:val="32"/>
          <w:szCs w:val="32"/>
          <w:lang w:val="en-US" w:eastAsia="zh-CN"/>
        </w:rPr>
        <w:t>按照省市县关于推进新时代产业工人队伍建设改革工作要求，大力推进国有企业产改工作，推动弋投集团成立了产改工作领导小组，制定了《弋投集团新时代产业工人队伍建设改革实施方案》，强化工人队伍党建工作，重点突出工人思想政治引领，拓展产业工人发展空间，完善队伍</w:t>
      </w:r>
      <w:r>
        <w:rPr>
          <w:rFonts w:hint="eastAsia" w:ascii="Times New Roman" w:hAnsi="Times New Roman" w:eastAsia="仿宋_GB2312" w:cs="Times New Roman"/>
          <w:b w:val="0"/>
          <w:bCs w:val="0"/>
          <w:sz w:val="32"/>
          <w:szCs w:val="32"/>
          <w:lang w:val="en-US" w:eastAsia="zh-CN"/>
        </w:rPr>
        <w:t>建</w:t>
      </w:r>
      <w:r>
        <w:rPr>
          <w:rFonts w:hint="default" w:ascii="Times New Roman" w:hAnsi="Times New Roman" w:eastAsia="仿宋_GB2312" w:cs="Times New Roman"/>
          <w:b w:val="0"/>
          <w:bCs w:val="0"/>
          <w:sz w:val="32"/>
          <w:szCs w:val="32"/>
          <w:lang w:val="en-US" w:eastAsia="zh-CN"/>
        </w:rPr>
        <w:t>设支撑保障，多方着力，全方位跟进，充分发挥国有企业在产改中的带动作用，全面提升产业工人获得感、幸福感、安全感。</w:t>
      </w:r>
    </w:p>
    <w:p w14:paraId="40F816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US" w:eastAsia="zh-CN"/>
        </w:rPr>
        <w:t>壮大国有资本运营能力。</w:t>
      </w:r>
      <w:r>
        <w:rPr>
          <w:rFonts w:hint="default" w:ascii="Times New Roman" w:hAnsi="Times New Roman" w:eastAsia="仿宋_GB2312" w:cs="Times New Roman"/>
          <w:sz w:val="32"/>
          <w:szCs w:val="32"/>
          <w:lang w:val="en-US" w:eastAsia="zh-CN"/>
        </w:rPr>
        <w:t>一是持续推进资产注入，</w:t>
      </w:r>
      <w:r>
        <w:rPr>
          <w:rFonts w:hint="eastAsia" w:ascii="Times New Roman" w:hAnsi="Times New Roman" w:eastAsia="仿宋_GB2312" w:cs="Times New Roman"/>
          <w:sz w:val="32"/>
          <w:szCs w:val="32"/>
          <w:lang w:val="en-US" w:eastAsia="zh-CN"/>
        </w:rPr>
        <w:t>做大做强国有资本。</w:t>
      </w: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推动弋投集团</w:t>
      </w:r>
      <w:r>
        <w:rPr>
          <w:rFonts w:hint="default" w:ascii="Times New Roman" w:hAnsi="Times New Roman" w:eastAsia="仿宋_GB2312" w:cs="Times New Roman"/>
          <w:sz w:val="32"/>
          <w:szCs w:val="32"/>
          <w:lang w:val="en-US" w:eastAsia="zh-CN"/>
        </w:rPr>
        <w:t>完成摘牌18宗土地，包括弋达物流园、高新区食品产业园、外贸产业园等地块，土地面积共996亩，成交价值约7.26亿元；完成办理大东山矿山采矿权许可证，注入矿山资产6.6亿元。二是盘活闲置资产，</w:t>
      </w:r>
      <w:r>
        <w:rPr>
          <w:rFonts w:hint="default" w:ascii="Times New Roman" w:hAnsi="Times New Roman" w:eastAsia="仿宋_GB2312" w:cs="Times New Roman"/>
          <w:b w:val="0"/>
          <w:bCs w:val="0"/>
          <w:sz w:val="32"/>
          <w:szCs w:val="32"/>
          <w:lang w:val="en-US" w:eastAsia="zh-CN"/>
        </w:rPr>
        <w:t>根据上级盘活资源资产要求，对国有企业闲置资产进行</w:t>
      </w:r>
      <w:r>
        <w:rPr>
          <w:rFonts w:hint="eastAsia" w:ascii="Times New Roman" w:hAnsi="Times New Roman" w:eastAsia="仿宋_GB2312" w:cs="Times New Roman"/>
          <w:b w:val="0"/>
          <w:bCs w:val="0"/>
          <w:sz w:val="32"/>
          <w:szCs w:val="32"/>
          <w:lang w:val="en-US" w:eastAsia="zh-CN"/>
        </w:rPr>
        <w:t>全面</w:t>
      </w:r>
      <w:r>
        <w:rPr>
          <w:rFonts w:hint="default" w:ascii="Times New Roman" w:hAnsi="Times New Roman" w:eastAsia="仿宋_GB2312" w:cs="Times New Roman"/>
          <w:b w:val="0"/>
          <w:bCs w:val="0"/>
          <w:sz w:val="32"/>
          <w:szCs w:val="32"/>
          <w:lang w:val="en-US" w:eastAsia="zh-CN"/>
        </w:rPr>
        <w:t>摸排，</w:t>
      </w:r>
      <w:r>
        <w:rPr>
          <w:rFonts w:hint="eastAsia" w:ascii="Times New Roman" w:hAnsi="Times New Roman" w:eastAsia="仿宋_GB2312" w:cs="Times New Roman"/>
          <w:b w:val="0"/>
          <w:bCs w:val="0"/>
          <w:sz w:val="32"/>
          <w:szCs w:val="32"/>
          <w:lang w:val="en-US" w:eastAsia="zh-CN"/>
        </w:rPr>
        <w:t>发现企业</w:t>
      </w:r>
      <w:r>
        <w:rPr>
          <w:rFonts w:hint="default" w:ascii="Times New Roman" w:hAnsi="Times New Roman" w:eastAsia="仿宋_GB2312" w:cs="Times New Roman"/>
          <w:b w:val="0"/>
          <w:bCs w:val="0"/>
          <w:sz w:val="32"/>
          <w:szCs w:val="32"/>
          <w:lang w:val="en-US" w:eastAsia="zh-CN"/>
        </w:rPr>
        <w:t>存在部分房产闲置，如城南安置房店面等，</w:t>
      </w:r>
      <w:r>
        <w:rPr>
          <w:rFonts w:hint="eastAsia" w:ascii="Times New Roman" w:hAnsi="Times New Roman" w:eastAsia="仿宋_GB2312" w:cs="Times New Roman"/>
          <w:b w:val="0"/>
          <w:bCs w:val="0"/>
          <w:sz w:val="32"/>
          <w:szCs w:val="32"/>
          <w:lang w:val="en-US" w:eastAsia="zh-CN"/>
        </w:rPr>
        <w:t>已</w:t>
      </w:r>
      <w:r>
        <w:rPr>
          <w:rFonts w:hint="default" w:ascii="Times New Roman" w:hAnsi="Times New Roman" w:eastAsia="仿宋_GB2312" w:cs="Times New Roman"/>
          <w:b w:val="0"/>
          <w:bCs w:val="0"/>
          <w:sz w:val="32"/>
          <w:szCs w:val="32"/>
          <w:lang w:val="en-US" w:eastAsia="zh-CN"/>
        </w:rPr>
        <w:t>通过公开招租等多渠道进行盘活，2023年</w:t>
      </w:r>
      <w:r>
        <w:rPr>
          <w:rFonts w:hint="eastAsia" w:ascii="Times New Roman" w:hAnsi="Times New Roman" w:eastAsia="仿宋_GB2312" w:cs="Times New Roman"/>
          <w:b w:val="0"/>
          <w:bCs w:val="0"/>
          <w:sz w:val="32"/>
          <w:szCs w:val="32"/>
          <w:lang w:val="en-US" w:eastAsia="zh-CN"/>
        </w:rPr>
        <w:t>全县</w:t>
      </w:r>
      <w:r>
        <w:rPr>
          <w:rFonts w:hint="default" w:ascii="Times New Roman" w:hAnsi="Times New Roman" w:eastAsia="仿宋_GB2312" w:cs="Times New Roman"/>
          <w:b w:val="0"/>
          <w:bCs w:val="0"/>
          <w:sz w:val="32"/>
          <w:szCs w:val="32"/>
          <w:lang w:val="en-US" w:eastAsia="zh-CN"/>
        </w:rPr>
        <w:t>国企盘活资产变现金额约298万元。</w:t>
      </w:r>
    </w:p>
    <w:p w14:paraId="0931D4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）优化国资布局，强化国企社会担当。</w:t>
      </w:r>
    </w:p>
    <w:p w14:paraId="0F81F183">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default" w:ascii="Times New Roman" w:hAnsi="Times New Roman" w:cs="Times New Roman"/>
          <w:b/>
          <w:bCs/>
          <w:color w:val="auto"/>
          <w:kern w:val="2"/>
          <w:sz w:val="32"/>
          <w:szCs w:val="32"/>
          <w:lang w:val="en-US" w:eastAsia="zh-CN" w:bidi="ar-SA"/>
        </w:rPr>
        <w:t>.</w:t>
      </w:r>
      <w:r>
        <w:rPr>
          <w:rFonts w:hint="eastAsia" w:ascii="Times New Roman" w:hAnsi="Times New Roman" w:cs="Times New Roman"/>
          <w:b/>
          <w:bCs/>
          <w:sz w:val="32"/>
          <w:szCs w:val="32"/>
          <w:lang w:val="en-US" w:eastAsia="zh-CN"/>
        </w:rPr>
        <w:t>强化企业发展</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一是</w:t>
      </w:r>
      <w:r>
        <w:rPr>
          <w:rFonts w:hint="eastAsia" w:ascii="Times New Roman" w:hAnsi="Times New Roman" w:cs="Times New Roman"/>
          <w:color w:val="auto"/>
          <w:kern w:val="2"/>
          <w:sz w:val="32"/>
          <w:szCs w:val="32"/>
          <w:lang w:val="en-US" w:eastAsia="zh-CN" w:bidi="ar-SA"/>
        </w:rPr>
        <w:t>拓宽资金渠道，锚定</w:t>
      </w:r>
      <w:r>
        <w:rPr>
          <w:rFonts w:hint="default" w:ascii="Times New Roman" w:hAnsi="Times New Roman" w:eastAsia="仿宋_GB2312" w:cs="Times New Roman"/>
          <w:color w:val="auto"/>
          <w:kern w:val="2"/>
          <w:sz w:val="32"/>
          <w:szCs w:val="32"/>
          <w:lang w:val="en-US" w:eastAsia="zh-CN" w:bidi="ar-SA"/>
        </w:rPr>
        <w:t>债券发行利好窗口期，</w:t>
      </w:r>
      <w:r>
        <w:rPr>
          <w:rFonts w:hint="eastAsia" w:ascii="Times New Roman" w:hAnsi="Times New Roman" w:cs="Times New Roman"/>
          <w:color w:val="auto"/>
          <w:kern w:val="2"/>
          <w:sz w:val="32"/>
          <w:szCs w:val="32"/>
          <w:lang w:val="en-US" w:eastAsia="zh-CN" w:bidi="ar-SA"/>
        </w:rPr>
        <w:t>推动</w:t>
      </w:r>
      <w:r>
        <w:rPr>
          <w:rFonts w:hint="default" w:ascii="Times New Roman" w:hAnsi="Times New Roman" w:cs="Times New Roman"/>
          <w:color w:val="auto"/>
          <w:kern w:val="2"/>
          <w:sz w:val="32"/>
          <w:szCs w:val="32"/>
          <w:lang w:val="en-US" w:eastAsia="zh-CN" w:bidi="ar-SA"/>
        </w:rPr>
        <w:t>弋投集团2023年</w:t>
      </w:r>
      <w:r>
        <w:rPr>
          <w:rFonts w:hint="default" w:ascii="Times New Roman" w:hAnsi="Times New Roman" w:eastAsia="仿宋_GB2312" w:cs="Times New Roman"/>
          <w:color w:val="auto"/>
          <w:kern w:val="2"/>
          <w:sz w:val="32"/>
          <w:szCs w:val="32"/>
          <w:lang w:val="en-US" w:eastAsia="zh-CN" w:bidi="ar-SA"/>
        </w:rPr>
        <w:t>成功发行</w:t>
      </w:r>
      <w:r>
        <w:rPr>
          <w:rFonts w:hint="eastAsia" w:ascii="Times New Roman" w:hAnsi="Times New Roman" w:cs="Times New Roman"/>
          <w:color w:val="auto"/>
          <w:kern w:val="2"/>
          <w:sz w:val="32"/>
          <w:szCs w:val="32"/>
          <w:lang w:val="en-US" w:eastAsia="zh-CN" w:bidi="ar-SA"/>
        </w:rPr>
        <w:t>企业债及公司债，发行金额共计11.66亿元，做到</w:t>
      </w:r>
      <w:r>
        <w:rPr>
          <w:rFonts w:hint="default" w:ascii="Times New Roman" w:hAnsi="Times New Roman" w:eastAsia="仿宋_GB2312" w:cs="Times New Roman"/>
          <w:color w:val="auto"/>
          <w:kern w:val="2"/>
          <w:sz w:val="32"/>
          <w:szCs w:val="32"/>
          <w:lang w:val="en-US" w:eastAsia="zh-CN" w:bidi="ar-SA"/>
        </w:rPr>
        <w:t>票面利率</w:t>
      </w:r>
      <w:r>
        <w:rPr>
          <w:rFonts w:hint="eastAsia" w:ascii="Times New Roman" w:hAnsi="Times New Roman" w:cs="Times New Roman"/>
          <w:color w:val="auto"/>
          <w:kern w:val="2"/>
          <w:sz w:val="32"/>
          <w:szCs w:val="32"/>
          <w:lang w:val="en-US" w:eastAsia="zh-CN" w:bidi="ar-SA"/>
        </w:rPr>
        <w:t>在</w:t>
      </w:r>
      <w:r>
        <w:rPr>
          <w:rFonts w:hint="default" w:ascii="Times New Roman" w:hAnsi="Times New Roman" w:cs="Times New Roman"/>
          <w:b w:val="0"/>
          <w:bCs w:val="0"/>
          <w:color w:val="auto"/>
          <w:kern w:val="2"/>
          <w:sz w:val="32"/>
          <w:szCs w:val="32"/>
          <w:lang w:val="en-US" w:eastAsia="zh-CN" w:bidi="ar-SA"/>
        </w:rPr>
        <w:t>5.</w:t>
      </w:r>
      <w:r>
        <w:rPr>
          <w:rFonts w:hint="eastAsia" w:ascii="Times New Roman" w:hAnsi="Times New Roman" w:cs="Times New Roman"/>
          <w:b w:val="0"/>
          <w:bCs w:val="0"/>
          <w:color w:val="auto"/>
          <w:kern w:val="2"/>
          <w:sz w:val="32"/>
          <w:szCs w:val="32"/>
          <w:lang w:val="en-US" w:eastAsia="zh-CN" w:bidi="ar-SA"/>
        </w:rPr>
        <w:t>4</w:t>
      </w:r>
      <w:r>
        <w:rPr>
          <w:rFonts w:hint="default" w:ascii="Times New Roman" w:hAnsi="Times New Roman" w:cs="Times New Roman"/>
          <w:b w:val="0"/>
          <w:bCs w:val="0"/>
          <w:color w:val="auto"/>
          <w:kern w:val="2"/>
          <w:sz w:val="32"/>
          <w:szCs w:val="32"/>
          <w:lang w:val="en-US" w:eastAsia="zh-CN" w:bidi="ar-SA"/>
        </w:rPr>
        <w:t>%</w:t>
      </w:r>
      <w:r>
        <w:rPr>
          <w:rFonts w:hint="eastAsia" w:ascii="Times New Roman" w:hAnsi="Times New Roman" w:cs="Times New Roman"/>
          <w:b w:val="0"/>
          <w:bCs w:val="0"/>
          <w:color w:val="auto"/>
          <w:kern w:val="2"/>
          <w:sz w:val="32"/>
          <w:szCs w:val="32"/>
          <w:lang w:val="en-US" w:eastAsia="zh-CN" w:bidi="ar-SA"/>
        </w:rPr>
        <w:t>以内，在</w:t>
      </w:r>
      <w:r>
        <w:rPr>
          <w:rFonts w:hint="default" w:ascii="Times New Roman" w:hAnsi="Times New Roman" w:eastAsia="仿宋_GB2312" w:cs="Times New Roman"/>
          <w:color w:val="auto"/>
          <w:kern w:val="2"/>
          <w:sz w:val="32"/>
          <w:szCs w:val="32"/>
          <w:lang w:val="en-US" w:eastAsia="zh-CN" w:bidi="ar-SA"/>
        </w:rPr>
        <w:t>同等债券</w:t>
      </w:r>
      <w:r>
        <w:rPr>
          <w:rFonts w:hint="eastAsia" w:ascii="Times New Roman" w:hAnsi="Times New Roman" w:cs="Times New Roman"/>
          <w:color w:val="auto"/>
          <w:kern w:val="2"/>
          <w:sz w:val="32"/>
          <w:szCs w:val="32"/>
          <w:lang w:val="en-US" w:eastAsia="zh-CN" w:bidi="ar-SA"/>
        </w:rPr>
        <w:t>利率中为</w:t>
      </w:r>
      <w:r>
        <w:rPr>
          <w:rFonts w:hint="default" w:ascii="Times New Roman" w:hAnsi="Times New Roman" w:eastAsia="仿宋_GB2312" w:cs="Times New Roman"/>
          <w:color w:val="auto"/>
          <w:kern w:val="2"/>
          <w:sz w:val="32"/>
          <w:szCs w:val="32"/>
          <w:lang w:val="en-US" w:eastAsia="zh-CN" w:bidi="ar-SA"/>
        </w:rPr>
        <w:t>较低水平</w:t>
      </w:r>
      <w:r>
        <w:rPr>
          <w:rFonts w:hint="eastAsia" w:ascii="Times New Roman" w:hAnsi="Times New Roman" w:cs="Times New Roman"/>
          <w:color w:val="auto"/>
          <w:kern w:val="2"/>
          <w:sz w:val="32"/>
          <w:szCs w:val="32"/>
          <w:lang w:val="en-US" w:eastAsia="zh-CN" w:bidi="ar-SA"/>
        </w:rPr>
        <w:t>，着力降低融资成本，保障企业发展资金需求</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lang w:val="en-US" w:eastAsia="zh-CN" w:bidi="ar-SA"/>
        </w:rPr>
        <w:t>二是</w:t>
      </w:r>
      <w:r>
        <w:rPr>
          <w:rFonts w:hint="default" w:ascii="Times New Roman" w:hAnsi="Times New Roman" w:cs="Times New Roman"/>
          <w:color w:val="auto"/>
          <w:kern w:val="2"/>
          <w:sz w:val="32"/>
          <w:szCs w:val="32"/>
          <w:lang w:val="en-US" w:eastAsia="zh-CN" w:bidi="ar-SA"/>
        </w:rPr>
        <w:t>信用评级</w:t>
      </w:r>
      <w:r>
        <w:rPr>
          <w:rFonts w:hint="eastAsia" w:ascii="Times New Roman" w:hAnsi="Times New Roman" w:cs="Times New Roman"/>
          <w:color w:val="auto"/>
          <w:kern w:val="2"/>
          <w:sz w:val="32"/>
          <w:szCs w:val="32"/>
          <w:lang w:val="en-US" w:eastAsia="zh-CN" w:bidi="ar-SA"/>
        </w:rPr>
        <w:t>再提升</w:t>
      </w:r>
      <w:r>
        <w:rPr>
          <w:rFonts w:hint="default" w:ascii="Times New Roman" w:hAnsi="Times New Roman" w:eastAsia="仿宋_GB2312" w:cs="Times New Roman"/>
          <w:color w:val="auto"/>
          <w:kern w:val="2"/>
          <w:sz w:val="32"/>
          <w:szCs w:val="32"/>
          <w:lang w:val="en-US" w:eastAsia="zh-CN" w:bidi="ar-SA"/>
        </w:rPr>
        <w:t>，弋投集团在已获得远东资信AA评级基础上，于2023年8月28日，又获得了市场认可度更高的东方金诚国际的AA评级</w:t>
      </w:r>
      <w:r>
        <w:rPr>
          <w:rFonts w:hint="eastAsia" w:ascii="Times New Roman" w:hAnsi="Times New Roman" w:cs="Times New Roman"/>
          <w:color w:val="auto"/>
          <w:kern w:val="2"/>
          <w:sz w:val="32"/>
          <w:szCs w:val="32"/>
          <w:lang w:val="en-US" w:eastAsia="zh-CN" w:bidi="ar-SA"/>
        </w:rPr>
        <w:t>。此外，县</w:t>
      </w:r>
      <w:r>
        <w:rPr>
          <w:rFonts w:hint="default" w:ascii="Times New Roman" w:hAnsi="Times New Roman" w:cs="Times New Roman"/>
          <w:color w:val="auto"/>
          <w:kern w:val="2"/>
          <w:sz w:val="32"/>
          <w:szCs w:val="32"/>
          <w:lang w:val="en-US" w:eastAsia="zh-CN" w:bidi="ar-SA"/>
        </w:rPr>
        <w:t>兴弋融资担保公司</w:t>
      </w:r>
      <w:r>
        <w:rPr>
          <w:rFonts w:hint="eastAsia" w:ascii="Times New Roman" w:hAnsi="Times New Roman" w:cs="Times New Roman"/>
          <w:color w:val="auto"/>
          <w:kern w:val="2"/>
          <w:sz w:val="32"/>
          <w:szCs w:val="32"/>
          <w:lang w:val="en-US" w:eastAsia="zh-CN" w:bidi="ar-SA"/>
        </w:rPr>
        <w:t>2023年通过</w:t>
      </w:r>
      <w:r>
        <w:rPr>
          <w:rFonts w:hint="default" w:ascii="Times New Roman" w:hAnsi="Times New Roman" w:cs="Times New Roman"/>
          <w:color w:val="auto"/>
          <w:kern w:val="2"/>
          <w:sz w:val="32"/>
          <w:szCs w:val="32"/>
          <w:lang w:val="en-US" w:eastAsia="zh-CN" w:bidi="ar-SA"/>
        </w:rPr>
        <w:t>放大在保余额倍数，降低融资担保综合费率</w:t>
      </w:r>
      <w:r>
        <w:rPr>
          <w:rFonts w:hint="eastAsia" w:ascii="Times New Roman" w:hAnsi="Times New Roman" w:cs="Times New Roman"/>
          <w:color w:val="auto"/>
          <w:kern w:val="2"/>
          <w:sz w:val="32"/>
          <w:szCs w:val="32"/>
          <w:lang w:val="en-US" w:eastAsia="zh-CN" w:bidi="ar-SA"/>
        </w:rPr>
        <w:t>等举措，</w:t>
      </w:r>
      <w:r>
        <w:rPr>
          <w:rFonts w:hint="default" w:ascii="Times New Roman" w:hAnsi="Times New Roman" w:cs="Times New Roman"/>
          <w:color w:val="auto"/>
          <w:kern w:val="2"/>
          <w:sz w:val="32"/>
          <w:szCs w:val="32"/>
          <w:lang w:val="en-US" w:eastAsia="zh-CN" w:bidi="ar-SA"/>
        </w:rPr>
        <w:t>成功</w:t>
      </w:r>
      <w:r>
        <w:rPr>
          <w:rFonts w:hint="eastAsia" w:ascii="Times New Roman" w:hAnsi="Times New Roman" w:cs="Times New Roman"/>
          <w:color w:val="auto"/>
          <w:kern w:val="2"/>
          <w:sz w:val="32"/>
          <w:szCs w:val="32"/>
          <w:lang w:val="en-US" w:eastAsia="zh-CN" w:bidi="ar-SA"/>
        </w:rPr>
        <w:t>纳入</w:t>
      </w:r>
      <w:r>
        <w:rPr>
          <w:rFonts w:hint="default" w:ascii="Times New Roman" w:hAnsi="Times New Roman" w:cs="Times New Roman"/>
          <w:color w:val="auto"/>
          <w:kern w:val="2"/>
          <w:sz w:val="32"/>
          <w:szCs w:val="32"/>
          <w:lang w:val="en-US" w:eastAsia="zh-CN" w:bidi="ar-SA"/>
        </w:rPr>
        <w:t>江西省政府性融资担保机构名单。</w:t>
      </w:r>
    </w:p>
    <w:p w14:paraId="277703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2.助推城市经济。</w:t>
      </w:r>
      <w:r>
        <w:rPr>
          <w:rFonts w:hint="default" w:ascii="Times New Roman" w:hAnsi="Times New Roman" w:eastAsia="仿宋_GB2312" w:cs="Times New Roman"/>
          <w:b w:val="0"/>
          <w:bCs w:val="0"/>
          <w:color w:val="auto"/>
          <w:kern w:val="2"/>
          <w:sz w:val="32"/>
          <w:szCs w:val="32"/>
          <w:highlight w:val="none"/>
          <w:lang w:val="en-US" w:eastAsia="zh-CN" w:bidi="ar-SA"/>
        </w:rPr>
        <w:t>一是优化经济产业布局，</w:t>
      </w:r>
      <w:r>
        <w:rPr>
          <w:rFonts w:hint="default" w:ascii="Times New Roman" w:hAnsi="Times New Roman" w:eastAsia="仿宋_GB2312" w:cs="Times New Roman"/>
          <w:b w:val="0"/>
          <w:bCs w:val="0"/>
          <w:sz w:val="32"/>
          <w:szCs w:val="32"/>
          <w:lang w:val="en-US" w:eastAsia="zh-CN"/>
        </w:rPr>
        <w:t>倾力打造</w:t>
      </w:r>
      <w:r>
        <w:rPr>
          <w:rFonts w:hint="eastAsia" w:ascii="Times New Roman" w:hAnsi="Times New Roman" w:eastAsia="仿宋_GB2312" w:cs="Times New Roman"/>
          <w:b w:val="0"/>
          <w:bCs w:val="0"/>
          <w:sz w:val="32"/>
          <w:szCs w:val="32"/>
          <w:lang w:val="en-US" w:eastAsia="zh-CN"/>
        </w:rPr>
        <w:t>了桃源里夜市、</w:t>
      </w:r>
      <w:r>
        <w:rPr>
          <w:rFonts w:hint="default" w:ascii="Times New Roman" w:hAnsi="Times New Roman" w:eastAsia="仿宋_GB2312" w:cs="Times New Roman"/>
          <w:b w:val="0"/>
          <w:bCs w:val="0"/>
          <w:sz w:val="32"/>
          <w:szCs w:val="32"/>
          <w:lang w:val="en-US" w:eastAsia="zh-CN"/>
        </w:rPr>
        <w:t>弋阳印象</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CN"/>
        </w:rPr>
        <w:t>特色街区新名片，打造街区特色，创优消费环境，积极引进商家驻扎，丰富消费选择，挖掘居民消费潜力，激发城市发展活力。二是深挖弋阳文化内涵，推进文旅消费深度融合，逐步打造龟峰景区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度假酒店+霞客线+水上乐园+夜游</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轻度假产品，构建龟峰山地避暑养生、休闲农庄、生态酒店为特色的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康养福地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新IP，</w:t>
      </w:r>
      <w:r>
        <w:rPr>
          <w:rFonts w:hint="default" w:ascii="Times New Roman" w:hAnsi="Times New Roman" w:eastAsia="仿宋_GB2312" w:cs="Times New Roman"/>
          <w:color w:val="auto"/>
          <w:sz w:val="32"/>
          <w:szCs w:val="40"/>
          <w:lang w:val="en-US" w:eastAsia="zh-CN"/>
        </w:rPr>
        <w:t>做到以旅游带消费、以消费促发展，实现社会效益和经济效益相统一。</w:t>
      </w:r>
    </w:p>
    <w:p w14:paraId="65ED293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auto"/>
          <w:sz w:val="32"/>
          <w:szCs w:val="40"/>
          <w:lang w:val="en-US" w:eastAsia="zh-CN"/>
        </w:rPr>
        <w:t>3.提升民生服务。</w:t>
      </w:r>
      <w:r>
        <w:rPr>
          <w:rFonts w:hint="default" w:ascii="Times New Roman" w:hAnsi="Times New Roman" w:eastAsia="仿宋_GB2312" w:cs="Times New Roman"/>
          <w:b w:val="0"/>
          <w:bCs w:val="0"/>
          <w:color w:val="auto"/>
          <w:sz w:val="32"/>
          <w:szCs w:val="40"/>
          <w:lang w:val="en-US" w:eastAsia="zh-CN"/>
        </w:rPr>
        <w:t>一是</w:t>
      </w:r>
      <w:r>
        <w:rPr>
          <w:rFonts w:hint="default" w:ascii="Times New Roman" w:hAnsi="Times New Roman" w:eastAsia="仿宋_GB2312" w:cs="Times New Roman"/>
          <w:color w:val="auto"/>
          <w:sz w:val="32"/>
          <w:szCs w:val="40"/>
          <w:lang w:val="en-US" w:eastAsia="zh-CN"/>
        </w:rPr>
        <w:t>聚焦重点项目，提升能级改善民生。扎实推进信江生态修复项目、弋投邻里中心、方志敏干部学院、智慧充电桩建设、老旧小区电梯改造等项目落地见效，有力推动城市产业升级和民生社会事业建设。二是</w:t>
      </w:r>
      <w:r>
        <w:rPr>
          <w:rFonts w:hint="default" w:ascii="Times New Roman" w:hAnsi="Times New Roman" w:eastAsia="仿宋_GB2312" w:cs="Times New Roman"/>
          <w:b w:val="0"/>
          <w:bCs w:val="0"/>
          <w:sz w:val="32"/>
          <w:szCs w:val="32"/>
          <w:lang w:val="en-US" w:eastAsia="zh-CN"/>
        </w:rPr>
        <w:t>聚焦支小支农，扩大担保规模。</w:t>
      </w:r>
      <w:r>
        <w:rPr>
          <w:rFonts w:hint="default" w:ascii="Times New Roman" w:hAnsi="Times New Roman" w:eastAsia="仿宋_GB2312" w:cs="Times New Roman"/>
          <w:b w:val="0"/>
          <w:bCs w:val="0"/>
          <w:color w:val="auto"/>
          <w:sz w:val="32"/>
          <w:szCs w:val="32"/>
          <w:highlight w:val="none"/>
          <w:lang w:val="en-US" w:eastAsia="zh-CN"/>
        </w:rPr>
        <w:t>以小微企业和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三农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融资担保业务为主业，聚焦县域市场主体，重点服务园区企业，</w:t>
      </w:r>
      <w:r>
        <w:rPr>
          <w:rFonts w:hint="eastAsia" w:ascii="Times New Roman" w:hAnsi="Times New Roman" w:eastAsia="仿宋_GB2312" w:cs="Times New Roman"/>
          <w:b w:val="0"/>
          <w:bCs w:val="0"/>
          <w:color w:val="auto"/>
          <w:sz w:val="32"/>
          <w:szCs w:val="32"/>
          <w:highlight w:val="none"/>
          <w:lang w:val="en-US" w:eastAsia="zh-CN"/>
        </w:rPr>
        <w:t>推动兴弋担保公司</w:t>
      </w:r>
      <w:r>
        <w:rPr>
          <w:rFonts w:hint="default" w:ascii="Times New Roman" w:hAnsi="Times New Roman" w:eastAsia="仿宋_GB2312" w:cs="Times New Roman"/>
          <w:b w:val="0"/>
          <w:bCs w:val="0"/>
          <w:color w:val="auto"/>
          <w:sz w:val="32"/>
          <w:szCs w:val="32"/>
          <w:highlight w:val="none"/>
          <w:lang w:val="en-US" w:eastAsia="zh-CN"/>
        </w:rPr>
        <w:t>深入实地了解企业融资需求，并降低担保费率，创新异地办理反担保手续工作方法，持续拓展新的融资担保业务，截止2023年底，</w:t>
      </w:r>
      <w:r>
        <w:rPr>
          <w:rFonts w:hint="eastAsia" w:ascii="Times New Roman" w:hAnsi="Times New Roman" w:eastAsia="仿宋_GB2312" w:cs="Times New Roman"/>
          <w:b w:val="0"/>
          <w:bCs w:val="0"/>
          <w:color w:val="auto"/>
          <w:sz w:val="32"/>
          <w:szCs w:val="32"/>
          <w:highlight w:val="none"/>
          <w:lang w:val="en-US" w:eastAsia="zh-CN"/>
        </w:rPr>
        <w:t>兴弋担保公司</w:t>
      </w:r>
      <w:r>
        <w:rPr>
          <w:rFonts w:hint="default" w:ascii="Times New Roman" w:hAnsi="Times New Roman" w:eastAsia="仿宋_GB2312" w:cs="Times New Roman"/>
          <w:b w:val="0"/>
          <w:bCs w:val="0"/>
          <w:color w:val="auto"/>
          <w:sz w:val="32"/>
          <w:szCs w:val="32"/>
          <w:highlight w:val="none"/>
          <w:lang w:val="en-US" w:eastAsia="zh-CN"/>
        </w:rPr>
        <w:t>为中小微企业、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三农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主体累计担保8980万元，担保户数</w:t>
      </w:r>
      <w:r>
        <w:rPr>
          <w:rFonts w:hint="eastAsia" w:ascii="Times New Roman" w:hAnsi="Times New Roman"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b w:val="0"/>
          <w:bCs w:val="0"/>
          <w:color w:val="auto"/>
          <w:sz w:val="32"/>
          <w:szCs w:val="32"/>
          <w:highlight w:val="none"/>
          <w:lang w:val="en-US" w:eastAsia="zh-CN"/>
        </w:rPr>
        <w:t>户。</w:t>
      </w:r>
    </w:p>
    <w:p w14:paraId="0875E0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）严格国资监管，筑牢国企安全底线。</w:t>
      </w:r>
    </w:p>
    <w:p w14:paraId="0F58039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强化企业日常监管。</w:t>
      </w:r>
      <w:r>
        <w:rPr>
          <w:rFonts w:hint="default" w:ascii="Times New Roman" w:hAnsi="Times New Roman" w:eastAsia="仿宋_GB2312" w:cs="Times New Roman"/>
          <w:b w:val="0"/>
          <w:bCs w:val="0"/>
          <w:sz w:val="32"/>
          <w:szCs w:val="32"/>
          <w:lang w:val="en-US" w:eastAsia="zh-CN"/>
        </w:rPr>
        <w:t>一是完善监管制度，近年来，在出台重大报告事项制度的基础上，陆续制定</w:t>
      </w:r>
      <w:r>
        <w:rPr>
          <w:rFonts w:hint="eastAsia" w:ascii="Times New Roman" w:hAnsi="Times New Roman" w:eastAsia="仿宋_GB2312" w:cs="Times New Roman"/>
          <w:b w:val="0"/>
          <w:bCs w:val="0"/>
          <w:sz w:val="32"/>
          <w:szCs w:val="32"/>
          <w:lang w:val="en-US" w:eastAsia="zh-CN"/>
        </w:rPr>
        <w:t>出台</w:t>
      </w:r>
      <w:r>
        <w:rPr>
          <w:rFonts w:hint="default"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color w:val="auto"/>
          <w:kern w:val="2"/>
          <w:sz w:val="32"/>
          <w:szCs w:val="32"/>
          <w:lang w:val="en-US" w:eastAsia="zh-CN" w:bidi="ar-SA"/>
        </w:rPr>
        <w:t>《弋阳县国资办出资监管企业投资监督管理办法》《关于推进县属国有企业采购进入市阳光采购服务平台交易的通知》等相关规范制度，完善了投资负面清单，推进国有企业采购进入阳光采购平台，进一步规范了企业投资、采购行为。二是推动</w:t>
      </w:r>
      <w:r>
        <w:rPr>
          <w:rFonts w:hint="eastAsia" w:ascii="Times New Roman" w:hAnsi="Times New Roman" w:eastAsia="仿宋_GB2312" w:cs="Times New Roman"/>
          <w:color w:val="auto"/>
          <w:kern w:val="2"/>
          <w:sz w:val="32"/>
          <w:szCs w:val="32"/>
          <w:lang w:val="en-US" w:eastAsia="zh-CN" w:bidi="ar-SA"/>
        </w:rPr>
        <w:t>国有企业</w:t>
      </w:r>
      <w:r>
        <w:rPr>
          <w:rFonts w:hint="default" w:ascii="Times New Roman" w:hAnsi="Times New Roman" w:eastAsia="仿宋_GB2312" w:cs="Times New Roman"/>
          <w:color w:val="auto"/>
          <w:kern w:val="2"/>
          <w:sz w:val="32"/>
          <w:szCs w:val="32"/>
          <w:lang w:val="en-US" w:eastAsia="zh-CN" w:bidi="ar-SA"/>
        </w:rPr>
        <w:t>严格落实重大事项报告制度，</w:t>
      </w:r>
      <w:r>
        <w:rPr>
          <w:rFonts w:hint="eastAsia" w:ascii="Times New Roman" w:hAnsi="Times New Roman" w:eastAsia="仿宋_GB2312" w:cs="Times New Roman"/>
          <w:color w:val="auto"/>
          <w:kern w:val="2"/>
          <w:sz w:val="32"/>
          <w:szCs w:val="32"/>
          <w:lang w:val="en-US" w:eastAsia="zh-CN" w:bidi="ar-SA"/>
        </w:rPr>
        <w:t>加强了对</w:t>
      </w:r>
      <w:r>
        <w:rPr>
          <w:rFonts w:hint="default" w:ascii="Times New Roman" w:hAnsi="Times New Roman" w:eastAsia="仿宋_GB2312" w:cs="Times New Roman"/>
          <w:color w:val="auto"/>
          <w:kern w:val="2"/>
          <w:sz w:val="32"/>
          <w:szCs w:val="32"/>
          <w:lang w:val="en-US" w:eastAsia="zh-CN" w:bidi="ar-SA"/>
        </w:rPr>
        <w:t>重大事项报告</w:t>
      </w:r>
      <w:r>
        <w:rPr>
          <w:rFonts w:hint="eastAsia" w:ascii="Times New Roman" w:hAnsi="Times New Roman" w:eastAsia="仿宋_GB2312" w:cs="Times New Roman"/>
          <w:color w:val="auto"/>
          <w:kern w:val="2"/>
          <w:sz w:val="32"/>
          <w:szCs w:val="32"/>
          <w:lang w:val="en-US" w:eastAsia="zh-CN" w:bidi="ar-SA"/>
        </w:rPr>
        <w:t>审核力度</w:t>
      </w:r>
      <w:r>
        <w:rPr>
          <w:rFonts w:hint="default" w:ascii="Times New Roman" w:hAnsi="Times New Roman" w:eastAsia="仿宋_GB2312" w:cs="Times New Roman"/>
          <w:color w:val="auto"/>
          <w:kern w:val="2"/>
          <w:sz w:val="32"/>
          <w:szCs w:val="32"/>
          <w:lang w:val="en-US" w:eastAsia="zh-CN" w:bidi="ar-SA"/>
        </w:rPr>
        <w:t>，实现了</w:t>
      </w:r>
      <w:r>
        <w:rPr>
          <w:rFonts w:hint="eastAsia" w:ascii="Times New Roman" w:hAnsi="Times New Roman" w:eastAsia="仿宋_GB2312" w:cs="Times New Roman"/>
          <w:color w:val="auto"/>
          <w:kern w:val="2"/>
          <w:sz w:val="32"/>
          <w:szCs w:val="32"/>
          <w:lang w:val="en-US" w:eastAsia="zh-CN" w:bidi="ar-SA"/>
        </w:rPr>
        <w:t>对国有企业的</w:t>
      </w:r>
      <w:r>
        <w:rPr>
          <w:rFonts w:hint="default" w:ascii="Times New Roman" w:hAnsi="Times New Roman" w:eastAsia="仿宋_GB2312" w:cs="Times New Roman"/>
          <w:color w:val="auto"/>
          <w:kern w:val="2"/>
          <w:sz w:val="32"/>
          <w:szCs w:val="32"/>
          <w:lang w:val="en-US" w:eastAsia="zh-CN" w:bidi="ar-SA"/>
        </w:rPr>
        <w:t>重点监督，2023年审批或备案的国有企业重大事项报告共</w:t>
      </w:r>
      <w:r>
        <w:rPr>
          <w:rFonts w:hint="eastAsia" w:ascii="Times New Roman" w:hAnsi="Times New Roman" w:eastAsia="仿宋_GB2312" w:cs="Times New Roman"/>
          <w:color w:val="auto"/>
          <w:kern w:val="2"/>
          <w:sz w:val="32"/>
          <w:szCs w:val="32"/>
          <w:highlight w:val="none"/>
          <w:lang w:val="en-US" w:eastAsia="zh-CN" w:bidi="ar-SA"/>
        </w:rPr>
        <w:t>45</w:t>
      </w:r>
      <w:r>
        <w:rPr>
          <w:rFonts w:hint="default" w:ascii="Times New Roman" w:hAnsi="Times New Roman" w:eastAsia="仿宋_GB2312" w:cs="Times New Roman"/>
          <w:color w:val="auto"/>
          <w:kern w:val="2"/>
          <w:sz w:val="32"/>
          <w:szCs w:val="32"/>
          <w:highlight w:val="none"/>
          <w:lang w:val="en-US" w:eastAsia="zh-CN" w:bidi="ar-SA"/>
        </w:rPr>
        <w:t>项</w:t>
      </w:r>
      <w:r>
        <w:rPr>
          <w:rFonts w:hint="default" w:ascii="Times New Roman" w:hAnsi="Times New Roman" w:eastAsia="仿宋_GB2312" w:cs="Times New Roman"/>
          <w:color w:val="auto"/>
          <w:kern w:val="2"/>
          <w:sz w:val="32"/>
          <w:szCs w:val="32"/>
          <w:lang w:val="en-US" w:eastAsia="zh-CN" w:bidi="ar-SA"/>
        </w:rPr>
        <w:t>。</w:t>
      </w:r>
    </w:p>
    <w:p w14:paraId="4B1F89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强化考核分配导向。</w:t>
      </w:r>
      <w:r>
        <w:rPr>
          <w:rFonts w:hint="eastAsia" w:ascii="Times New Roman" w:hAnsi="Times New Roman" w:eastAsia="仿宋_GB2312" w:cs="Times New Roman"/>
          <w:b w:val="0"/>
          <w:bCs w:val="0"/>
          <w:sz w:val="32"/>
          <w:szCs w:val="32"/>
          <w:lang w:val="en-US" w:eastAsia="zh-CN"/>
        </w:rPr>
        <w:t>为充分激发企业发展潜力，出台了弋投集团企业负责人薪酬制度实施方案，建立了经营业绩考核机制，与企业签订了年度经营业绩责任书，做到企业高管薪酬、与经营业绩考核相挂钩，进一步压实了企业管理责任。同时根据县委决策部署、经济形势以及企业自身发展状态等因素，采取定量与定性相结合的方式，科学合理的设置了融资指标、主要经济指标、生产经营性指标、项目投资建设、改革攻坚及安全生产等工作，加强党的建设等考核指标，实现了对企业全方位、多维度监管，并着重加大了融资指标、主要经济及生产经营性指标分值比重，引导企业加速经济发展，</w:t>
      </w:r>
      <w:r>
        <w:rPr>
          <w:rFonts w:hint="default" w:ascii="Times New Roman" w:hAnsi="Times New Roman" w:eastAsia="仿宋_GB2312" w:cs="Times New Roman"/>
          <w:sz w:val="32"/>
          <w:szCs w:val="32"/>
          <w:u w:val="none"/>
          <w:lang w:eastAsia="zh-CN"/>
        </w:rPr>
        <w:t>充分</w:t>
      </w:r>
      <w:r>
        <w:rPr>
          <w:rFonts w:hint="eastAsia" w:ascii="Times New Roman" w:hAnsi="Times New Roman" w:eastAsia="仿宋_GB2312" w:cs="Times New Roman"/>
          <w:sz w:val="32"/>
          <w:szCs w:val="32"/>
          <w:u w:val="none"/>
          <w:lang w:eastAsia="zh-CN"/>
        </w:rPr>
        <w:t>发挥考核“指挥棒”作用，</w:t>
      </w:r>
      <w:r>
        <w:rPr>
          <w:rFonts w:hint="eastAsia" w:ascii="Times New Roman" w:hAnsi="Times New Roman" w:eastAsia="仿宋_GB2312" w:cs="Times New Roman"/>
          <w:b w:val="0"/>
          <w:bCs w:val="0"/>
          <w:sz w:val="32"/>
          <w:szCs w:val="32"/>
          <w:lang w:val="en-US" w:eastAsia="zh-CN"/>
        </w:rPr>
        <w:t>保障了企业经济发展大方向。</w:t>
      </w:r>
    </w:p>
    <w:p w14:paraId="4F0989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加强风险事项监管。</w:t>
      </w:r>
      <w:r>
        <w:rPr>
          <w:rFonts w:hint="default" w:ascii="Times New Roman" w:hAnsi="Times New Roman" w:eastAsia="仿宋_GB2312" w:cs="Times New Roman"/>
          <w:b w:val="0"/>
          <w:bCs w:val="0"/>
          <w:sz w:val="32"/>
          <w:szCs w:val="32"/>
          <w:lang w:val="en-US" w:eastAsia="zh-CN"/>
        </w:rPr>
        <w:t>一是防范化解债务风险，每月定时监测其他国有企业债务余额，着重关注3个月以内到期债务是否有偿付风险，同时督促弋投集团制定</w:t>
      </w:r>
      <w:r>
        <w:rPr>
          <w:rFonts w:hint="default" w:ascii="Times New Roman" w:hAnsi="Times New Roman" w:eastAsia="仿宋_GB2312" w:cs="Times New Roman"/>
          <w:color w:val="auto"/>
          <w:sz w:val="32"/>
          <w:szCs w:val="32"/>
          <w:lang w:val="en-US" w:eastAsia="zh-CN"/>
        </w:rPr>
        <w:t>年度每月还本付息情况表及还本付息保障融资计划表，提前谋划、</w:t>
      </w:r>
      <w:r>
        <w:rPr>
          <w:rFonts w:hint="eastAsia" w:ascii="Times New Roman" w:hAnsi="Times New Roman" w:eastAsia="仿宋_GB2312" w:cs="Times New Roman"/>
          <w:color w:val="auto"/>
          <w:sz w:val="32"/>
          <w:szCs w:val="32"/>
          <w:lang w:val="en-US" w:eastAsia="zh-CN"/>
        </w:rPr>
        <w:t>筹</w:t>
      </w:r>
      <w:r>
        <w:rPr>
          <w:rFonts w:hint="default" w:ascii="Times New Roman" w:hAnsi="Times New Roman" w:eastAsia="仿宋_GB2312" w:cs="Times New Roman"/>
          <w:color w:val="auto"/>
          <w:sz w:val="32"/>
          <w:szCs w:val="32"/>
          <w:lang w:val="en-US" w:eastAsia="zh-CN"/>
        </w:rPr>
        <w:t>备债务还本付息资金，确保存量债务按时偿还。二是降低金融担保风险，推动兴弋融资担保公司对</w:t>
      </w:r>
      <w:r>
        <w:rPr>
          <w:rFonts w:hint="default" w:ascii="Times New Roman" w:hAnsi="Times New Roman" w:eastAsia="仿宋_GB2312" w:cs="Times New Roman"/>
          <w:b w:val="0"/>
          <w:bCs w:val="0"/>
          <w:color w:val="auto"/>
          <w:sz w:val="32"/>
          <w:szCs w:val="32"/>
          <w:highlight w:val="none"/>
          <w:lang w:val="en-US" w:eastAsia="zh-CN"/>
        </w:rPr>
        <w:t>融资性在保业务进行再担保备案，截止2023年底兴弋担保公司融资性担保业务再担保备案金额8980万元，再担保备案</w:t>
      </w:r>
      <w:r>
        <w:rPr>
          <w:rFonts w:hint="eastAsia" w:ascii="Times New Roman" w:hAnsi="Times New Roman" w:eastAsia="仿宋_GB2312" w:cs="Times New Roman"/>
          <w:b w:val="0"/>
          <w:bCs w:val="0"/>
          <w:color w:val="auto"/>
          <w:sz w:val="32"/>
          <w:szCs w:val="32"/>
          <w:highlight w:val="none"/>
          <w:lang w:val="en-US" w:eastAsia="zh-CN"/>
        </w:rPr>
        <w:t>34户</w:t>
      </w:r>
      <w:r>
        <w:rPr>
          <w:rFonts w:hint="default" w:ascii="Times New Roman" w:hAnsi="Times New Roman" w:eastAsia="仿宋_GB2312" w:cs="Times New Roman"/>
          <w:b w:val="0"/>
          <w:bCs w:val="0"/>
          <w:color w:val="auto"/>
          <w:sz w:val="32"/>
          <w:szCs w:val="32"/>
          <w:highlight w:val="none"/>
          <w:lang w:val="en-US" w:eastAsia="zh-CN"/>
        </w:rPr>
        <w:t>，实现担保业务再担保全覆盖。</w:t>
      </w:r>
      <w:r>
        <w:rPr>
          <w:rFonts w:hint="default" w:ascii="Times New Roman" w:hAnsi="Times New Roman" w:eastAsia="仿宋_GB2312" w:cs="Times New Roman"/>
          <w:color w:val="auto"/>
          <w:sz w:val="32"/>
          <w:szCs w:val="32"/>
          <w:lang w:val="en-US" w:eastAsia="zh-CN"/>
        </w:rPr>
        <w:t>三是推进安全生产工作。督促</w:t>
      </w:r>
      <w:r>
        <w:rPr>
          <w:rFonts w:hint="eastAsia" w:ascii="Times New Roman" w:hAnsi="Times New Roman" w:eastAsia="仿宋_GB2312" w:cs="Times New Roman"/>
          <w:color w:val="auto"/>
          <w:sz w:val="32"/>
          <w:szCs w:val="32"/>
          <w:lang w:val="en-US" w:eastAsia="zh-CN"/>
        </w:rPr>
        <w:t>指导国有企业</w:t>
      </w:r>
      <w:r>
        <w:rPr>
          <w:rFonts w:hint="default" w:ascii="Times New Roman" w:hAnsi="Times New Roman" w:eastAsia="仿宋_GB2312" w:cs="Times New Roman"/>
          <w:color w:val="auto"/>
          <w:sz w:val="32"/>
          <w:szCs w:val="32"/>
          <w:lang w:val="en-US" w:eastAsia="zh-CN"/>
        </w:rPr>
        <w:t>定期召开安全生产会议、强化安全生产意识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同时按照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全覆盖、零容忍、严监管、重实效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的要求，</w:t>
      </w:r>
      <w:r>
        <w:rPr>
          <w:rFonts w:hint="eastAsia" w:ascii="Times New Roman" w:hAnsi="Times New Roman" w:eastAsia="仿宋_GB2312" w:cs="Times New Roman"/>
          <w:color w:val="auto"/>
          <w:sz w:val="32"/>
          <w:szCs w:val="32"/>
          <w:lang w:val="en-US" w:eastAsia="zh-CN"/>
        </w:rPr>
        <w:t>加强安全排查</w:t>
      </w:r>
      <w:r>
        <w:rPr>
          <w:rFonts w:hint="default" w:ascii="Times New Roman" w:hAnsi="Times New Roman" w:eastAsia="仿宋_GB2312" w:cs="Times New Roman"/>
          <w:color w:val="auto"/>
          <w:sz w:val="32"/>
          <w:szCs w:val="32"/>
          <w:lang w:val="en-US" w:eastAsia="zh-CN"/>
        </w:rPr>
        <w:t>，压实排查责任，多次集中开展安全生产隐患排查行动。</w:t>
      </w:r>
    </w:p>
    <w:p w14:paraId="467541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三、落实审计整改问题情况</w:t>
      </w:r>
    </w:p>
    <w:p w14:paraId="3AAE8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弋阳县兴弋融资担保公司对县审计局提出的2023年度审计报告中涉及的内控制度不健全问题已整改完成</w:t>
      </w:r>
      <w:r>
        <w:rPr>
          <w:rFonts w:hint="eastAsia" w:ascii="Times New Roman" w:hAnsi="Times New Roman" w:eastAsia="仿宋_GB2312" w:cs="Times New Roman"/>
          <w:color w:val="auto"/>
          <w:sz w:val="32"/>
          <w:szCs w:val="32"/>
          <w:highlight w:val="none"/>
          <w:lang w:val="en-US" w:eastAsia="zh-CN"/>
        </w:rPr>
        <w:t>，公司法人治理结构不健全及保后监督管理不到位问题正在推进整改中，预计今年年底整改完成。</w:t>
      </w:r>
    </w:p>
    <w:p w14:paraId="03FE2B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四、存在问题和困难</w:t>
      </w:r>
    </w:p>
    <w:p w14:paraId="1A7F01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sz w:val="32"/>
          <w:szCs w:val="32"/>
          <w:lang w:val="en-US" w:eastAsia="zh-CN"/>
        </w:rPr>
        <w:t>（一）国企改革仍需加强。</w:t>
      </w:r>
      <w:r>
        <w:rPr>
          <w:rFonts w:hint="default" w:ascii="Times New Roman" w:hAnsi="Times New Roman" w:eastAsia="仿宋_GB2312" w:cs="Times New Roman"/>
          <w:color w:val="auto"/>
          <w:kern w:val="0"/>
          <w:sz w:val="31"/>
          <w:szCs w:val="31"/>
          <w:lang w:val="en-US" w:eastAsia="zh-CN" w:bidi="ar"/>
        </w:rPr>
        <w:t>一是弋投集团现代公司治理水平有待提升，</w:t>
      </w:r>
      <w:r>
        <w:rPr>
          <w:rFonts w:hint="default" w:ascii="Times New Roman" w:hAnsi="Times New Roman" w:eastAsia="仿宋_GB2312" w:cs="Times New Roman"/>
          <w:color w:val="auto"/>
          <w:sz w:val="32"/>
          <w:szCs w:val="32"/>
        </w:rPr>
        <w:t>董事会和经理层职权</w:t>
      </w:r>
      <w:r>
        <w:rPr>
          <w:rFonts w:hint="default" w:ascii="Times New Roman" w:hAnsi="Times New Roman" w:eastAsia="仿宋_GB2312" w:cs="Times New Roman"/>
          <w:color w:val="auto"/>
          <w:sz w:val="32"/>
          <w:szCs w:val="32"/>
          <w:lang w:eastAsia="zh-CN"/>
        </w:rPr>
        <w:t>边界还需进一步理清</w:t>
      </w:r>
      <w:r>
        <w:rPr>
          <w:rFonts w:hint="default" w:ascii="Times New Roman" w:hAnsi="Times New Roman" w:eastAsia="仿宋_GB2312" w:cs="Times New Roman"/>
          <w:color w:val="auto"/>
          <w:sz w:val="32"/>
          <w:szCs w:val="32"/>
        </w:rPr>
        <w:t>，经理层对董事会负责、向董事会报告的工作机制</w:t>
      </w:r>
      <w:r>
        <w:rPr>
          <w:rFonts w:hint="default" w:ascii="Times New Roman" w:hAnsi="Times New Roman" w:eastAsia="仿宋_GB2312" w:cs="Times New Roman"/>
          <w:color w:val="auto"/>
          <w:sz w:val="32"/>
          <w:szCs w:val="32"/>
          <w:lang w:eastAsia="zh-CN"/>
        </w:rPr>
        <w:t>有待建立完善，同时兴弋担保公司由于人员较少，监事会人员数量不足，未召开监事会会议，监事会职责履行不到位；二是</w:t>
      </w:r>
      <w:r>
        <w:rPr>
          <w:rFonts w:hint="eastAsia" w:ascii="Times New Roman" w:hAnsi="Times New Roman" w:eastAsia="仿宋_GB2312" w:cs="Times New Roman"/>
          <w:color w:val="auto"/>
          <w:kern w:val="2"/>
          <w:sz w:val="32"/>
          <w:szCs w:val="32"/>
          <w:lang w:val="en-US" w:eastAsia="zh-CN" w:bidi="ar-SA"/>
        </w:rPr>
        <w:t>国有</w:t>
      </w:r>
      <w:r>
        <w:rPr>
          <w:rFonts w:hint="default" w:ascii="Times New Roman" w:hAnsi="Times New Roman" w:eastAsia="仿宋_GB2312" w:cs="Times New Roman"/>
          <w:color w:val="auto"/>
          <w:kern w:val="2"/>
          <w:sz w:val="32"/>
          <w:szCs w:val="32"/>
          <w:lang w:val="en-US" w:eastAsia="zh-CN" w:bidi="ar-SA"/>
        </w:rPr>
        <w:t>企业</w:t>
      </w:r>
      <w:r>
        <w:rPr>
          <w:rFonts w:hint="default" w:ascii="Times New Roman" w:hAnsi="Times New Roman" w:eastAsia="仿宋_GB2312" w:cs="Times New Roman"/>
          <w:color w:val="auto"/>
          <w:sz w:val="32"/>
          <w:szCs w:val="32"/>
          <w:lang w:eastAsia="zh-CN"/>
        </w:rPr>
        <w:t>向实体经济产业转型不深，弋投集团融资平台属性仍较为明显，支柱性产业缺乏。</w:t>
      </w:r>
    </w:p>
    <w:p w14:paraId="01D4544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sz w:val="32"/>
          <w:szCs w:val="32"/>
          <w:lang w:val="en-US" w:eastAsia="zh-CN"/>
        </w:rPr>
        <w:t>（二）运营水平有待提升。</w:t>
      </w:r>
      <w:r>
        <w:rPr>
          <w:rFonts w:hint="default" w:ascii="Times New Roman" w:hAnsi="Times New Roman" w:eastAsia="仿宋_GB2312" w:cs="Times New Roman"/>
          <w:color w:val="auto"/>
          <w:kern w:val="2"/>
          <w:sz w:val="32"/>
          <w:szCs w:val="32"/>
          <w:lang w:val="en-US" w:eastAsia="zh-CN" w:bidi="ar-SA"/>
        </w:rPr>
        <w:t>一是</w:t>
      </w:r>
      <w:r>
        <w:rPr>
          <w:rFonts w:hint="eastAsia" w:ascii="Times New Roman" w:hAnsi="Times New Roman" w:eastAsia="仿宋_GB2312" w:cs="Times New Roman"/>
          <w:color w:val="auto"/>
          <w:kern w:val="2"/>
          <w:sz w:val="32"/>
          <w:szCs w:val="32"/>
          <w:lang w:val="en-US" w:eastAsia="zh-CN" w:bidi="ar-SA"/>
        </w:rPr>
        <w:t>国有</w:t>
      </w:r>
      <w:r>
        <w:rPr>
          <w:rFonts w:hint="default" w:ascii="Times New Roman" w:hAnsi="Times New Roman" w:eastAsia="仿宋_GB2312" w:cs="Times New Roman"/>
          <w:color w:val="auto"/>
          <w:kern w:val="2"/>
          <w:sz w:val="32"/>
          <w:szCs w:val="32"/>
          <w:lang w:val="en-US" w:eastAsia="zh-CN" w:bidi="ar-SA"/>
        </w:rPr>
        <w:t>企业存在专业性人才紧缺、人才储备不足以及</w:t>
      </w:r>
      <w:r>
        <w:rPr>
          <w:rFonts w:hint="default" w:ascii="Times New Roman" w:hAnsi="Times New Roman" w:eastAsia="仿宋_GB2312" w:cs="Times New Roman"/>
          <w:b w:val="0"/>
          <w:bCs w:val="0"/>
          <w:color w:val="auto"/>
          <w:sz w:val="32"/>
          <w:szCs w:val="32"/>
          <w:highlight w:val="none"/>
          <w:lang w:val="en-US" w:eastAsia="zh-CN"/>
        </w:rPr>
        <w:t>内部管理行政化、机关化惯性犹存等问题，制约着企业高效发展；二是弋投集团存在很多行政事业单位划入资产，该部分</w:t>
      </w:r>
      <w:r>
        <w:rPr>
          <w:rFonts w:hint="default" w:ascii="Times New Roman" w:hAnsi="Times New Roman" w:eastAsia="仿宋_GB2312" w:cs="Times New Roman"/>
          <w:color w:val="auto"/>
          <w:kern w:val="2"/>
          <w:sz w:val="32"/>
          <w:szCs w:val="32"/>
          <w:lang w:val="en-US" w:eastAsia="zh-CN" w:bidi="ar-SA"/>
        </w:rPr>
        <w:t>资产存在没有产权或者产权不明确等情况，</w:t>
      </w:r>
      <w:r>
        <w:rPr>
          <w:rFonts w:hint="default" w:ascii="Times New Roman" w:hAnsi="Times New Roman" w:eastAsia="仿宋_GB2312" w:cs="Times New Roman"/>
          <w:sz w:val="32"/>
          <w:szCs w:val="32"/>
          <w:lang w:val="en-US" w:eastAsia="zh-CN"/>
        </w:rPr>
        <w:t>出租权、使用权还是在原单位管控</w:t>
      </w:r>
      <w:r>
        <w:rPr>
          <w:rFonts w:hint="default" w:ascii="Times New Roman" w:hAnsi="Times New Roman" w:eastAsia="仿宋_GB2312" w:cs="Times New Roman"/>
          <w:color w:val="auto"/>
          <w:kern w:val="2"/>
          <w:sz w:val="32"/>
          <w:szCs w:val="32"/>
          <w:lang w:val="en-US" w:eastAsia="zh-CN" w:bidi="ar-SA"/>
        </w:rPr>
        <w:t>，导致经营性收益不高，盘活利用难度较大。</w:t>
      </w:r>
    </w:p>
    <w:p w14:paraId="235D3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sz w:val="32"/>
          <w:szCs w:val="32"/>
          <w:lang w:val="en-US" w:eastAsia="zh-CN"/>
        </w:rPr>
        <w:t>（三）防范风险压力与日俱增。</w:t>
      </w:r>
      <w:r>
        <w:rPr>
          <w:rFonts w:hint="default" w:ascii="Times New Roman" w:hAnsi="Times New Roman" w:eastAsia="仿宋_GB2312" w:cs="Times New Roman"/>
          <w:color w:val="auto"/>
          <w:kern w:val="2"/>
          <w:sz w:val="32"/>
          <w:szCs w:val="32"/>
          <w:lang w:val="en-US" w:eastAsia="zh-CN" w:bidi="ar-SA"/>
        </w:rPr>
        <w:t>一是偿债压力不断增长。在国家金融政策调整下，贷款授信收紧、债券发行利率</w:t>
      </w:r>
      <w:r>
        <w:rPr>
          <w:rFonts w:hint="eastAsia" w:ascii="Times New Roman" w:hAnsi="Times New Roman" w:eastAsia="仿宋_GB2312" w:cs="Times New Roman"/>
          <w:color w:val="auto"/>
          <w:kern w:val="2"/>
          <w:sz w:val="32"/>
          <w:szCs w:val="32"/>
          <w:lang w:val="en-US" w:eastAsia="zh-CN" w:bidi="ar-SA"/>
        </w:rPr>
        <w:t>较高</w:t>
      </w:r>
      <w:r>
        <w:rPr>
          <w:rFonts w:hint="default" w:ascii="Times New Roman" w:hAnsi="Times New Roman" w:eastAsia="仿宋_GB2312" w:cs="Times New Roman"/>
          <w:color w:val="auto"/>
          <w:kern w:val="2"/>
          <w:sz w:val="32"/>
          <w:szCs w:val="32"/>
          <w:lang w:val="en-US" w:eastAsia="zh-CN" w:bidi="ar-SA"/>
        </w:rPr>
        <w:t>，融资</w:t>
      </w:r>
      <w:r>
        <w:rPr>
          <w:rFonts w:hint="eastAsia" w:ascii="Times New Roman" w:hAnsi="Times New Roman" w:eastAsia="仿宋_GB2312" w:cs="Times New Roman"/>
          <w:color w:val="auto"/>
          <w:kern w:val="2"/>
          <w:sz w:val="32"/>
          <w:szCs w:val="32"/>
          <w:lang w:val="en-US" w:eastAsia="zh-CN" w:bidi="ar-SA"/>
        </w:rPr>
        <w:t>形势十分严峻</w:t>
      </w:r>
      <w:r>
        <w:rPr>
          <w:rFonts w:hint="default" w:ascii="Times New Roman" w:hAnsi="Times New Roman" w:eastAsia="仿宋_GB2312" w:cs="Times New Roman"/>
          <w:color w:val="auto"/>
          <w:kern w:val="2"/>
          <w:sz w:val="32"/>
          <w:szCs w:val="32"/>
          <w:lang w:val="en-US" w:eastAsia="zh-CN" w:bidi="ar-SA"/>
        </w:rPr>
        <w:t>，加上</w:t>
      </w:r>
      <w:r>
        <w:rPr>
          <w:rFonts w:hint="eastAsia" w:ascii="Times New Roman" w:hAnsi="Times New Roman" w:eastAsia="仿宋_GB2312" w:cs="Times New Roman"/>
          <w:color w:val="auto"/>
          <w:kern w:val="2"/>
          <w:sz w:val="32"/>
          <w:szCs w:val="32"/>
          <w:lang w:val="en-US" w:eastAsia="zh-CN" w:bidi="ar-SA"/>
        </w:rPr>
        <w:t>国有企业</w:t>
      </w:r>
      <w:r>
        <w:rPr>
          <w:rFonts w:hint="default" w:ascii="Times New Roman" w:hAnsi="Times New Roman" w:eastAsia="仿宋_GB2312" w:cs="Times New Roman"/>
          <w:color w:val="auto"/>
          <w:kern w:val="2"/>
          <w:sz w:val="32"/>
          <w:szCs w:val="32"/>
          <w:lang w:val="en-US" w:eastAsia="zh-CN" w:bidi="ar-SA"/>
        </w:rPr>
        <w:t>承担无收益、公益性项目较多，融资、资产及收益储备跟不上，企业还本付息压力较大。二是融资担保风险高，融资担保客户大多数为直接融资较为困难的市场主体，小微企业和</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三农</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主体普遍缺乏合格抵押物，公司和个人财务无明确划分，同时企业报表难以真实反映其生产经营和财务状况，股东信用观念淡薄，不注重信用维护，信用等级较低，导致担保风险增大。</w:t>
      </w:r>
    </w:p>
    <w:p w14:paraId="693D51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五、下</w:t>
      </w:r>
      <w:r>
        <w:rPr>
          <w:rFonts w:hint="eastAsia"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lang w:eastAsia="zh-CN"/>
        </w:rPr>
        <w:t>步</w:t>
      </w:r>
      <w:r>
        <w:rPr>
          <w:rFonts w:hint="eastAsia" w:ascii="Times New Roman" w:hAnsi="Times New Roman" w:eastAsia="黑体" w:cs="Times New Roman"/>
          <w:b/>
          <w:bCs/>
          <w:sz w:val="32"/>
          <w:szCs w:val="32"/>
          <w:lang w:eastAsia="zh-CN"/>
        </w:rPr>
        <w:t>工作打算</w:t>
      </w:r>
    </w:p>
    <w:p w14:paraId="480B90F7">
      <w:pPr>
        <w:keepNext w:val="0"/>
        <w:keepLines w:val="0"/>
        <w:pageBreakBefore w:val="0"/>
        <w:widowControl w:val="0"/>
        <w:numPr>
          <w:ilvl w:val="0"/>
          <w:numId w:val="0"/>
        </w:numPr>
        <w:tabs>
          <w:tab w:val="left" w:pos="238"/>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今后，</w:t>
      </w:r>
      <w:r>
        <w:rPr>
          <w:rFonts w:hint="default" w:ascii="Times New Roman" w:hAnsi="Times New Roman" w:eastAsia="仿宋_GB2312" w:cs="Times New Roman"/>
          <w:kern w:val="0"/>
          <w:sz w:val="32"/>
          <w:szCs w:val="32"/>
          <w:lang w:val="en-US" w:eastAsia="zh-CN" w:bidi="ar-SA"/>
        </w:rPr>
        <w:t>将</w:t>
      </w:r>
      <w:r>
        <w:rPr>
          <w:rFonts w:hint="eastAsia" w:ascii="Times New Roman" w:hAnsi="Times New Roman" w:eastAsia="仿宋_GB2312" w:cs="Times New Roman"/>
          <w:kern w:val="0"/>
          <w:sz w:val="32"/>
          <w:szCs w:val="32"/>
          <w:lang w:val="en-US" w:eastAsia="zh-CN" w:bidi="ar-SA"/>
        </w:rPr>
        <w:t>持续</w:t>
      </w:r>
      <w:r>
        <w:rPr>
          <w:rFonts w:hint="default" w:ascii="Times New Roman" w:hAnsi="Times New Roman" w:eastAsia="仿宋_GB2312" w:cs="Times New Roman"/>
          <w:kern w:val="0"/>
          <w:sz w:val="32"/>
          <w:szCs w:val="32"/>
          <w:lang w:val="en-US" w:eastAsia="zh-CN" w:bidi="ar-SA"/>
        </w:rPr>
        <w:t>以习近平新时代中国特色社会主义思想为指导，</w:t>
      </w:r>
      <w:r>
        <w:rPr>
          <w:rFonts w:hint="eastAsia" w:ascii="Times New Roman" w:hAnsi="Times New Roman" w:eastAsia="仿宋_GB2312" w:cs="Times New Roman"/>
          <w:kern w:val="0"/>
          <w:sz w:val="32"/>
          <w:szCs w:val="32"/>
          <w:lang w:val="en-US" w:eastAsia="zh-CN" w:bidi="ar-SA"/>
        </w:rPr>
        <w:t>持续</w:t>
      </w:r>
      <w:r>
        <w:rPr>
          <w:rFonts w:hint="default" w:ascii="Times New Roman" w:hAnsi="Times New Roman" w:eastAsia="仿宋_GB2312" w:cs="Times New Roman"/>
          <w:kern w:val="0"/>
          <w:sz w:val="32"/>
          <w:szCs w:val="32"/>
          <w:lang w:val="en-US" w:eastAsia="zh-CN" w:bidi="ar-SA"/>
        </w:rPr>
        <w:t>深入</w:t>
      </w:r>
      <w:r>
        <w:rPr>
          <w:rFonts w:hint="eastAsia" w:ascii="Times New Roman" w:hAnsi="Times New Roman" w:eastAsia="仿宋_GB2312" w:cs="Times New Roman"/>
          <w:kern w:val="0"/>
          <w:sz w:val="32"/>
          <w:szCs w:val="32"/>
          <w:lang w:val="en-US" w:eastAsia="zh-CN" w:bidi="ar-SA"/>
        </w:rPr>
        <w:t>学习</w:t>
      </w:r>
      <w:r>
        <w:rPr>
          <w:rFonts w:hint="default" w:ascii="Times New Roman" w:hAnsi="Times New Roman" w:eastAsia="仿宋_GB2312" w:cs="Times New Roman"/>
          <w:kern w:val="0"/>
          <w:sz w:val="32"/>
          <w:szCs w:val="32"/>
          <w:lang w:val="en-US" w:eastAsia="zh-CN" w:bidi="ar-SA"/>
        </w:rPr>
        <w:t>习近平总书记</w:t>
      </w:r>
      <w:r>
        <w:rPr>
          <w:rFonts w:hint="eastAsia" w:ascii="Times New Roman" w:hAnsi="Times New Roman" w:eastAsia="仿宋_GB2312" w:cs="Times New Roman"/>
          <w:kern w:val="0"/>
          <w:sz w:val="32"/>
          <w:szCs w:val="32"/>
          <w:lang w:val="en-US" w:eastAsia="zh-CN" w:bidi="ar-SA"/>
        </w:rPr>
        <w:t>考</w:t>
      </w:r>
      <w:r>
        <w:rPr>
          <w:rFonts w:hint="default" w:ascii="Times New Roman" w:hAnsi="Times New Roman" w:eastAsia="仿宋_GB2312" w:cs="Times New Roman"/>
          <w:kern w:val="0"/>
          <w:sz w:val="32"/>
          <w:szCs w:val="32"/>
          <w:lang w:val="en-US" w:eastAsia="zh-CN" w:bidi="ar-SA"/>
        </w:rPr>
        <w:t>察江西重要讲话精神</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按照</w:t>
      </w:r>
      <w:r>
        <w:rPr>
          <w:rFonts w:hint="eastAsia" w:ascii="Times New Roman" w:hAnsi="Times New Roman" w:eastAsia="仿宋_GB2312" w:cs="Times New Roman"/>
          <w:kern w:val="0"/>
          <w:sz w:val="32"/>
          <w:szCs w:val="32"/>
          <w:lang w:val="en-US" w:eastAsia="zh-CN" w:bidi="ar-SA"/>
        </w:rPr>
        <w:t>“走在前、勇争先、善作为”</w:t>
      </w:r>
      <w:r>
        <w:rPr>
          <w:rFonts w:hint="default" w:ascii="Times New Roman" w:hAnsi="Times New Roman" w:eastAsia="仿宋_GB2312" w:cs="Times New Roman"/>
          <w:kern w:val="0"/>
          <w:sz w:val="32"/>
          <w:szCs w:val="32"/>
          <w:lang w:val="en-US" w:eastAsia="zh-CN" w:bidi="ar-SA"/>
        </w:rPr>
        <w:t>目标要求，</w:t>
      </w:r>
      <w:r>
        <w:rPr>
          <w:rFonts w:hint="default" w:ascii="Times New Roman" w:hAnsi="Times New Roman" w:eastAsia="仿宋_GB2312" w:cs="Times New Roman"/>
          <w:color w:val="auto"/>
          <w:kern w:val="2"/>
          <w:sz w:val="32"/>
          <w:szCs w:val="32"/>
          <w:lang w:val="en-US" w:eastAsia="zh-CN" w:bidi="ar-SA"/>
        </w:rPr>
        <w:t>全面贯彻落实中央和省市县委重大决策部署，主动作为、积极进取，推动国资国企</w:t>
      </w:r>
      <w:r>
        <w:rPr>
          <w:rFonts w:hint="eastAsia" w:ascii="Times New Roman" w:hAnsi="Times New Roman" w:eastAsia="仿宋_GB2312" w:cs="Times New Roman"/>
          <w:color w:val="auto"/>
          <w:kern w:val="2"/>
          <w:sz w:val="32"/>
          <w:szCs w:val="32"/>
          <w:lang w:val="en-US" w:eastAsia="zh-CN" w:bidi="ar-SA"/>
        </w:rPr>
        <w:t>迈向</w:t>
      </w:r>
      <w:r>
        <w:rPr>
          <w:rFonts w:hint="default" w:ascii="Times New Roman" w:hAnsi="Times New Roman" w:eastAsia="仿宋_GB2312" w:cs="Times New Roman"/>
          <w:color w:val="auto"/>
          <w:kern w:val="2"/>
          <w:sz w:val="32"/>
          <w:szCs w:val="32"/>
          <w:lang w:val="en-US" w:eastAsia="zh-CN" w:bidi="ar-SA"/>
        </w:rPr>
        <w:t>高质量发展</w:t>
      </w:r>
      <w:r>
        <w:rPr>
          <w:rFonts w:hint="eastAsia" w:ascii="Times New Roman" w:hAnsi="Times New Roman" w:eastAsia="仿宋_GB2312" w:cs="Times New Roman"/>
          <w:color w:val="auto"/>
          <w:kern w:val="2"/>
          <w:sz w:val="32"/>
          <w:szCs w:val="32"/>
          <w:lang w:val="en-US" w:eastAsia="zh-CN" w:bidi="ar-SA"/>
        </w:rPr>
        <w:t>新台阶</w:t>
      </w:r>
      <w:r>
        <w:rPr>
          <w:rFonts w:hint="default" w:ascii="Times New Roman" w:hAnsi="Times New Roman" w:eastAsia="仿宋_GB2312" w:cs="Times New Roman"/>
          <w:color w:val="auto"/>
          <w:kern w:val="2"/>
          <w:sz w:val="32"/>
          <w:szCs w:val="32"/>
          <w:lang w:val="en-US" w:eastAsia="zh-CN" w:bidi="ar-SA"/>
        </w:rPr>
        <w:t>，为弋阳建设贡献力量。</w:t>
      </w:r>
    </w:p>
    <w:p w14:paraId="55E67B6E">
      <w:pPr>
        <w:keepNext w:val="0"/>
        <w:keepLines w:val="0"/>
        <w:pageBreakBefore w:val="0"/>
        <w:widowControl w:val="0"/>
        <w:numPr>
          <w:ilvl w:val="0"/>
          <w:numId w:val="0"/>
        </w:numPr>
        <w:tabs>
          <w:tab w:val="left" w:pos="238"/>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vertAlign w:val="baseline"/>
          <w:lang w:val="en-US" w:eastAsia="zh-CN" w:bidi="ar-SA"/>
        </w:rPr>
      </w:pPr>
      <w:r>
        <w:rPr>
          <w:rFonts w:hint="default" w:ascii="Times New Roman" w:hAnsi="Times New Roman" w:eastAsia="楷体_GB2312" w:cs="Times New Roman"/>
          <w:b/>
          <w:bCs/>
          <w:color w:val="auto"/>
          <w:kern w:val="2"/>
          <w:sz w:val="32"/>
          <w:szCs w:val="32"/>
          <w:vertAlign w:val="baseline"/>
          <w:lang w:val="en-US" w:eastAsia="zh-CN" w:bidi="ar-SA"/>
        </w:rPr>
        <w:t>（一）抓好改革活企，增强高质量发展新效能。</w:t>
      </w:r>
      <w:r>
        <w:rPr>
          <w:rFonts w:hint="default" w:ascii="Times New Roman" w:hAnsi="Times New Roman" w:eastAsia="仿宋_GB2312" w:cs="Times New Roman"/>
          <w:b w:val="0"/>
          <w:bCs w:val="0"/>
          <w:color w:val="auto"/>
          <w:kern w:val="2"/>
          <w:sz w:val="32"/>
          <w:szCs w:val="32"/>
          <w:vertAlign w:val="baseline"/>
          <w:lang w:val="en-US" w:eastAsia="zh-CN" w:bidi="ar-SA"/>
        </w:rPr>
        <w:t>持续推进国企改革深化提升行动，细化任务清单，加大统筹部署，进一步完善成果展示。一是持续优化国资布局。推进国有资本向经济发展、新兴产业</w:t>
      </w:r>
      <w:r>
        <w:rPr>
          <w:rFonts w:hint="eastAsia" w:ascii="Times New Roman" w:hAnsi="Times New Roman" w:eastAsia="仿宋_GB2312" w:cs="Times New Roman"/>
          <w:b w:val="0"/>
          <w:bCs w:val="0"/>
          <w:color w:val="auto"/>
          <w:kern w:val="2"/>
          <w:sz w:val="32"/>
          <w:szCs w:val="32"/>
          <w:vertAlign w:val="baseline"/>
          <w:lang w:val="en-US" w:eastAsia="zh-CN" w:bidi="ar-SA"/>
        </w:rPr>
        <w:t>等</w:t>
      </w:r>
      <w:r>
        <w:rPr>
          <w:rFonts w:hint="default" w:ascii="Times New Roman" w:hAnsi="Times New Roman" w:eastAsia="仿宋_GB2312" w:cs="Times New Roman"/>
          <w:b w:val="0"/>
          <w:bCs w:val="0"/>
          <w:color w:val="auto"/>
          <w:kern w:val="2"/>
          <w:sz w:val="32"/>
          <w:szCs w:val="32"/>
          <w:vertAlign w:val="baseline"/>
          <w:lang w:val="en-US" w:eastAsia="zh-CN" w:bidi="ar-SA"/>
        </w:rPr>
        <w:t>关键领域集中，加大实体产业投入，加快文旅产业发展，加强培育支柱性产业，同时对</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两非</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两资</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僵尸企业</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加大处置出清力度，推动企业</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瘦身健体</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、构建形成一批功能相同、业务相近的企业重组整合，有序推进改革成果提质增效。二是提升企业治理水平。进一步</w:t>
      </w:r>
      <w:r>
        <w:rPr>
          <w:rFonts w:hint="eastAsia" w:ascii="Times New Roman" w:hAnsi="Times New Roman" w:eastAsia="仿宋_GB2312" w:cs="Times New Roman"/>
          <w:b w:val="0"/>
          <w:bCs w:val="0"/>
          <w:color w:val="auto"/>
          <w:kern w:val="2"/>
          <w:sz w:val="32"/>
          <w:szCs w:val="32"/>
          <w:vertAlign w:val="baseline"/>
          <w:lang w:val="en-US" w:eastAsia="zh-CN" w:bidi="ar-SA"/>
        </w:rPr>
        <w:t>推动国有企业</w:t>
      </w:r>
      <w:r>
        <w:rPr>
          <w:rFonts w:hint="default" w:ascii="Times New Roman" w:hAnsi="Times New Roman" w:eastAsia="仿宋_GB2312" w:cs="Times New Roman"/>
          <w:b w:val="0"/>
          <w:bCs w:val="0"/>
          <w:color w:val="auto"/>
          <w:kern w:val="2"/>
          <w:sz w:val="32"/>
          <w:szCs w:val="32"/>
          <w:vertAlign w:val="baseline"/>
          <w:lang w:val="en-US" w:eastAsia="zh-CN" w:bidi="ar-SA"/>
        </w:rPr>
        <w:t>理清</w:t>
      </w:r>
      <w:r>
        <w:rPr>
          <w:rFonts w:hint="default" w:ascii="Times New Roman" w:hAnsi="Times New Roman" w:eastAsia="仿宋_GB2312" w:cs="Times New Roman"/>
          <w:color w:val="auto"/>
          <w:sz w:val="32"/>
          <w:szCs w:val="32"/>
        </w:rPr>
        <w:t>董事会和经理层职权</w:t>
      </w:r>
      <w:r>
        <w:rPr>
          <w:rFonts w:hint="default" w:ascii="Times New Roman" w:hAnsi="Times New Roman" w:eastAsia="仿宋_GB2312" w:cs="Times New Roman"/>
          <w:color w:val="auto"/>
          <w:sz w:val="32"/>
          <w:szCs w:val="32"/>
          <w:lang w:eastAsia="zh-CN"/>
        </w:rPr>
        <w:t>边界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建立完善</w:t>
      </w:r>
      <w:r>
        <w:rPr>
          <w:rFonts w:hint="default" w:ascii="Times New Roman" w:hAnsi="Times New Roman" w:eastAsia="仿宋_GB2312" w:cs="Times New Roman"/>
          <w:color w:val="auto"/>
          <w:sz w:val="32"/>
          <w:szCs w:val="32"/>
        </w:rPr>
        <w:t>经理层对董事会负责、向董事会报告的工作机制</w:t>
      </w:r>
      <w:r>
        <w:rPr>
          <w:rFonts w:hint="default" w:ascii="Times New Roman" w:hAnsi="Times New Roman" w:eastAsia="仿宋_GB2312" w:cs="Times New Roman"/>
          <w:color w:val="auto"/>
          <w:sz w:val="32"/>
          <w:szCs w:val="32"/>
          <w:lang w:eastAsia="zh-CN"/>
        </w:rPr>
        <w:t>，同时加大监管，推动兴弋担保公司完善监事会建设，并全面落实监事会职责，切实发挥企业内部监管作用。</w:t>
      </w:r>
      <w:r>
        <w:rPr>
          <w:rFonts w:hint="default" w:ascii="Times New Roman" w:hAnsi="Times New Roman" w:eastAsia="仿宋_GB2312" w:cs="Times New Roman"/>
          <w:b w:val="0"/>
          <w:bCs w:val="0"/>
          <w:color w:val="auto"/>
          <w:kern w:val="2"/>
          <w:sz w:val="32"/>
          <w:szCs w:val="32"/>
          <w:vertAlign w:val="baseline"/>
          <w:lang w:val="en-US" w:eastAsia="zh-CN" w:bidi="ar-SA"/>
        </w:rPr>
        <w:t>三是推进国企降本提质增效。</w:t>
      </w:r>
      <w:r>
        <w:rPr>
          <w:rFonts w:hint="default" w:ascii="Times New Roman" w:hAnsi="Times New Roman" w:eastAsia="仿宋_GB2312" w:cs="Times New Roman"/>
          <w:b w:val="0"/>
          <w:bCs w:val="0"/>
          <w:color w:val="auto"/>
          <w:sz w:val="32"/>
          <w:szCs w:val="40"/>
          <w:lang w:val="en-US" w:eastAsia="zh-CN"/>
        </w:rPr>
        <w:t>深入贯彻落实上级降本提质增效方案，一方面，推进弋投集团通过将资</w:t>
      </w:r>
      <w:r>
        <w:rPr>
          <w:rFonts w:hint="default" w:ascii="Times New Roman" w:hAnsi="Times New Roman" w:eastAsia="仿宋_GB2312" w:cs="Times New Roman"/>
          <w:color w:val="auto"/>
          <w:sz w:val="32"/>
          <w:szCs w:val="40"/>
          <w:lang w:val="en-US" w:eastAsia="zh-CN"/>
        </w:rPr>
        <w:t>金融资期限</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短改长</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，融资利率</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高改低</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流动性贷款置换为项目贷款等方式，降低融资项目综合利率。另一方面，强化对工程项目的全生命周期管理，突出工程内控审批管理，落实项目计划、组织、控制、协调、监督等管控措施，有效控制工程投资建设成本。</w:t>
      </w:r>
    </w:p>
    <w:p w14:paraId="67C37154">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楷体_GB2312" w:cs="Times New Roman"/>
          <w:b/>
          <w:bCs/>
          <w:color w:val="auto"/>
          <w:kern w:val="2"/>
          <w:sz w:val="32"/>
          <w:szCs w:val="32"/>
          <w:vertAlign w:val="baseline"/>
          <w:lang w:val="en-US" w:eastAsia="zh-CN" w:bidi="ar-SA"/>
        </w:rPr>
        <w:t>（二）</w:t>
      </w:r>
      <w:r>
        <w:rPr>
          <w:rFonts w:hint="eastAsia" w:ascii="Times New Roman" w:hAnsi="Times New Roman" w:eastAsia="楷体_GB2312" w:cs="Times New Roman"/>
          <w:b/>
          <w:bCs/>
          <w:color w:val="auto"/>
          <w:kern w:val="2"/>
          <w:sz w:val="32"/>
          <w:szCs w:val="32"/>
          <w:vertAlign w:val="baseline"/>
          <w:lang w:val="en-US" w:eastAsia="zh-CN" w:bidi="ar-SA"/>
        </w:rPr>
        <w:t>践行社会责任</w:t>
      </w:r>
      <w:r>
        <w:rPr>
          <w:rFonts w:hint="default" w:ascii="Times New Roman" w:hAnsi="Times New Roman" w:eastAsia="楷体_GB2312" w:cs="Times New Roman"/>
          <w:b/>
          <w:bCs/>
          <w:color w:val="auto"/>
          <w:kern w:val="2"/>
          <w:sz w:val="32"/>
          <w:szCs w:val="32"/>
          <w:vertAlign w:val="baseline"/>
          <w:lang w:val="en-US" w:eastAsia="zh-CN" w:bidi="ar-SA"/>
        </w:rPr>
        <w:t>，</w:t>
      </w:r>
      <w:r>
        <w:rPr>
          <w:rFonts w:hint="eastAsia" w:ascii="Times New Roman" w:hAnsi="Times New Roman" w:eastAsia="楷体_GB2312" w:cs="Times New Roman"/>
          <w:b/>
          <w:bCs/>
          <w:color w:val="auto"/>
          <w:kern w:val="2"/>
          <w:sz w:val="32"/>
          <w:szCs w:val="32"/>
          <w:vertAlign w:val="baseline"/>
          <w:lang w:val="en-US" w:eastAsia="zh-CN" w:bidi="ar-SA"/>
        </w:rPr>
        <w:t>引领</w:t>
      </w:r>
      <w:r>
        <w:rPr>
          <w:rFonts w:hint="default" w:ascii="Times New Roman" w:hAnsi="Times New Roman" w:eastAsia="楷体_GB2312" w:cs="Times New Roman"/>
          <w:b/>
          <w:bCs/>
          <w:color w:val="auto"/>
          <w:kern w:val="2"/>
          <w:sz w:val="32"/>
          <w:szCs w:val="32"/>
          <w:vertAlign w:val="baseline"/>
          <w:lang w:val="en-US" w:eastAsia="zh-CN" w:bidi="ar-SA"/>
        </w:rPr>
        <w:t>高质量发展新</w:t>
      </w:r>
      <w:r>
        <w:rPr>
          <w:rFonts w:hint="eastAsia" w:ascii="Times New Roman" w:hAnsi="Times New Roman" w:eastAsia="楷体_GB2312" w:cs="Times New Roman"/>
          <w:b/>
          <w:bCs/>
          <w:color w:val="auto"/>
          <w:kern w:val="2"/>
          <w:sz w:val="32"/>
          <w:szCs w:val="32"/>
          <w:vertAlign w:val="baseline"/>
          <w:lang w:val="en-US" w:eastAsia="zh-CN" w:bidi="ar-SA"/>
        </w:rPr>
        <w:t>方向</w:t>
      </w:r>
      <w:r>
        <w:rPr>
          <w:rFonts w:hint="default" w:ascii="Times New Roman" w:hAnsi="Times New Roman" w:eastAsia="楷体_GB2312" w:cs="Times New Roman"/>
          <w:b/>
          <w:bCs/>
          <w:color w:val="auto"/>
          <w:kern w:val="2"/>
          <w:sz w:val="32"/>
          <w:szCs w:val="32"/>
          <w:vertAlign w:val="baseline"/>
          <w:lang w:val="en-US" w:eastAsia="zh-CN" w:bidi="ar-SA"/>
        </w:rPr>
        <w:t>。</w:t>
      </w:r>
      <w:r>
        <w:rPr>
          <w:rFonts w:hint="eastAsia" w:ascii="Times New Roman" w:hAnsi="Times New Roman" w:eastAsia="仿宋_GB2312" w:cs="Times New Roman"/>
          <w:color w:val="auto"/>
          <w:sz w:val="32"/>
          <w:szCs w:val="40"/>
          <w:lang w:val="en-US" w:eastAsia="zh-CN"/>
        </w:rPr>
        <w:t>全面推动国有企业</w:t>
      </w:r>
      <w:r>
        <w:rPr>
          <w:rFonts w:hint="eastAsia" w:ascii="仿宋_GB2312" w:hAnsi="仿宋_GB2312" w:eastAsia="仿宋_GB2312" w:cs="仿宋_GB2312"/>
          <w:b w:val="0"/>
          <w:bCs w:val="0"/>
          <w:color w:val="auto"/>
          <w:kern w:val="2"/>
          <w:sz w:val="32"/>
          <w:szCs w:val="32"/>
          <w:vertAlign w:val="baseline"/>
          <w:lang w:val="en-US" w:eastAsia="zh-CN" w:bidi="ar-SA"/>
        </w:rPr>
        <w:t>持续谋划好经营发展工作，</w:t>
      </w:r>
      <w:r>
        <w:rPr>
          <w:rFonts w:hint="eastAsia" w:ascii="Times New Roman" w:hAnsi="Times New Roman" w:eastAsia="仿宋_GB2312" w:cs="Times New Roman"/>
          <w:color w:val="auto"/>
          <w:sz w:val="32"/>
          <w:szCs w:val="40"/>
          <w:lang w:val="en-US" w:eastAsia="zh-CN"/>
        </w:rPr>
        <w:t>积极履行社会责任，推动社会经济及民生事业向上发展。一是加强重点工程融资，深化与银行沟通合作，初步拟定债券、蔬菜大棚、大禾谷基地、国储林等项目融资，加大资金筹集力度，保障2024年企业项目建设顺利完成。二是扩大项目有效投资。积极落实县委发展战略及决策部署，推动新材料产业融合、南岩卫生院等5个城市基础设施项目新建，计划投资约1.94亿元，推动城北城市星级酒店消费项目新建，计划投资约1.5亿元。同时加快推进“葛河之心”食品产业园、信江生态修复等8个在建项目进度，在确保项目建设质量的前提下，争取早日投产增效。三是加大对小微企业、“三农”主体担保力度，不断丰富融资担保产品，创新反担保方式，积极运用大数据</w:t>
      </w:r>
      <w:r>
        <w:rPr>
          <w:rFonts w:hint="eastAsia" w:ascii="Times New Roman" w:hAnsi="Times New Roman" w:eastAsia="仿宋_GB2312" w:cs="Times New Roman"/>
          <w:color w:val="auto"/>
          <w:sz w:val="30"/>
          <w:szCs w:val="30"/>
          <w:lang w:val="en-US" w:eastAsia="zh-CN"/>
        </w:rPr>
        <w:t>等现代信息技术手段，如开发适合“首贷户”、知识产权质押融资、应收账款融资、中长期研发融资</w:t>
      </w:r>
      <w:r>
        <w:rPr>
          <w:rFonts w:hint="eastAsia" w:ascii="Times New Roman" w:hAnsi="Times New Roman" w:eastAsia="仿宋_GB2312" w:cs="Times New Roman"/>
          <w:color w:val="auto"/>
          <w:sz w:val="32"/>
          <w:szCs w:val="40"/>
          <w:lang w:val="en-US" w:eastAsia="zh-CN"/>
        </w:rPr>
        <w:t>等担保产品，满足小微、“三农”等领域金融需求，扩大担保社会影响效益。</w:t>
      </w:r>
    </w:p>
    <w:p w14:paraId="4739272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kern w:val="2"/>
          <w:sz w:val="32"/>
          <w:szCs w:val="32"/>
          <w:vertAlign w:val="baseline"/>
          <w:lang w:val="en-US" w:eastAsia="zh-CN" w:bidi="ar-SA"/>
        </w:rPr>
        <w:t>（三）强化运营管理，激发高质量发展新活力。</w:t>
      </w:r>
      <w:r>
        <w:rPr>
          <w:rFonts w:hint="default" w:ascii="Times New Roman" w:hAnsi="Times New Roman" w:eastAsia="仿宋_GB2312" w:cs="Times New Roman"/>
          <w:b w:val="0"/>
          <w:bCs w:val="0"/>
          <w:color w:val="auto"/>
          <w:kern w:val="2"/>
          <w:sz w:val="32"/>
          <w:szCs w:val="32"/>
          <w:vertAlign w:val="baseline"/>
          <w:lang w:val="en-US" w:eastAsia="zh-CN" w:bidi="ar-SA"/>
        </w:rPr>
        <w:t>一是加快存量资产盘活，制定出台《关于加快县属国有企业存量资产盘活的实施意见》</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摸清国有企业资产底数，明确资产产权，聚焦</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八个一批</w:t>
      </w:r>
      <w:r>
        <w:rPr>
          <w:rFonts w:hint="eastAsia"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b w:val="0"/>
          <w:bCs w:val="0"/>
          <w:color w:val="auto"/>
          <w:kern w:val="2"/>
          <w:sz w:val="32"/>
          <w:szCs w:val="32"/>
          <w:vertAlign w:val="baseline"/>
          <w:lang w:val="en-US" w:eastAsia="zh-CN" w:bidi="ar-SA"/>
        </w:rPr>
        <w:t>，</w:t>
      </w:r>
      <w:r>
        <w:rPr>
          <w:rFonts w:hint="default" w:ascii="Times New Roman" w:hAnsi="Times New Roman" w:eastAsia="仿宋_GB2312" w:cs="Times New Roman"/>
          <w:color w:val="auto"/>
          <w:kern w:val="2"/>
          <w:sz w:val="32"/>
          <w:szCs w:val="32"/>
          <w:lang w:val="en-US" w:eastAsia="zh-CN" w:bidi="ar-SA"/>
        </w:rPr>
        <w:t>根据存量资产现有状况及特性，通过多种手段，如商业街整体</w:t>
      </w:r>
      <w:r>
        <w:rPr>
          <w:rFonts w:hint="eastAsia" w:ascii="Times New Roman" w:hAnsi="Times New Roman" w:eastAsia="仿宋_GB2312" w:cs="Times New Roman"/>
          <w:color w:val="auto"/>
          <w:kern w:val="2"/>
          <w:sz w:val="32"/>
          <w:szCs w:val="32"/>
          <w:lang w:val="en-US" w:eastAsia="zh-CN" w:bidi="ar-SA"/>
        </w:rPr>
        <w:t>公开</w:t>
      </w:r>
      <w:r>
        <w:rPr>
          <w:rFonts w:hint="default" w:ascii="Times New Roman" w:hAnsi="Times New Roman" w:eastAsia="仿宋_GB2312" w:cs="Times New Roman"/>
          <w:color w:val="auto"/>
          <w:kern w:val="2"/>
          <w:sz w:val="32"/>
          <w:szCs w:val="32"/>
          <w:lang w:val="en-US" w:eastAsia="zh-CN" w:bidi="ar-SA"/>
        </w:rPr>
        <w:t>招商，自建项目中房产店面</w:t>
      </w:r>
      <w:r>
        <w:rPr>
          <w:rFonts w:hint="eastAsia" w:ascii="Times New Roman" w:hAnsi="Times New Roman" w:eastAsia="仿宋_GB2312" w:cs="Times New Roman"/>
          <w:color w:val="auto"/>
          <w:kern w:val="2"/>
          <w:sz w:val="32"/>
          <w:szCs w:val="32"/>
          <w:lang w:val="en-US" w:eastAsia="zh-CN" w:bidi="ar-SA"/>
        </w:rPr>
        <w:t>公开</w:t>
      </w:r>
      <w:r>
        <w:rPr>
          <w:rFonts w:hint="default" w:ascii="Times New Roman" w:hAnsi="Times New Roman" w:eastAsia="仿宋_GB2312" w:cs="Times New Roman"/>
          <w:color w:val="auto"/>
          <w:kern w:val="2"/>
          <w:sz w:val="32"/>
          <w:szCs w:val="32"/>
          <w:lang w:val="en-US" w:eastAsia="zh-CN" w:bidi="ar-SA"/>
        </w:rPr>
        <w:t>出售等，盘活存量资产，优化资产结构，</w:t>
      </w:r>
      <w:r>
        <w:rPr>
          <w:rFonts w:hint="default" w:ascii="Times New Roman" w:hAnsi="Times New Roman" w:eastAsia="仿宋_GB2312" w:cs="Times New Roman"/>
          <w:b w:val="0"/>
          <w:bCs w:val="0"/>
          <w:color w:val="auto"/>
          <w:kern w:val="2"/>
          <w:sz w:val="32"/>
          <w:szCs w:val="32"/>
          <w:vertAlign w:val="baseline"/>
          <w:lang w:val="en-US" w:eastAsia="zh-CN" w:bidi="ar-SA"/>
        </w:rPr>
        <w:t>加强资金回笼，有效提升资产运营管理水平。二是</w:t>
      </w:r>
      <w:r>
        <w:rPr>
          <w:rFonts w:hint="default" w:ascii="Times New Roman" w:hAnsi="Times New Roman" w:eastAsia="仿宋_GB2312" w:cs="Times New Roman"/>
          <w:b w:val="0"/>
          <w:bCs w:val="0"/>
          <w:color w:val="auto"/>
          <w:sz w:val="32"/>
          <w:szCs w:val="32"/>
          <w:highlight w:val="none"/>
          <w:lang w:val="en-US" w:eastAsia="zh-CN"/>
        </w:rPr>
        <w:t>完善激励与约束机制，优化国企人才引进政策，督促指导国企开展全员绩效考核，实施分层分级分类考核，推动企业构建更加健全、高效的绩效考核组织体系，充分激发员工的积极性和创造力，为企业的持续健康发展提供坚实保障。</w:t>
      </w:r>
    </w:p>
    <w:p w14:paraId="67E864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bCs/>
          <w:color w:val="auto"/>
          <w:kern w:val="2"/>
          <w:sz w:val="32"/>
          <w:szCs w:val="32"/>
          <w:vertAlign w:val="baseline"/>
          <w:lang w:val="en-US" w:eastAsia="zh-CN" w:bidi="ar-SA"/>
        </w:rPr>
        <w:t>（</w:t>
      </w:r>
      <w:r>
        <w:rPr>
          <w:rFonts w:hint="eastAsia" w:ascii="Times New Roman" w:hAnsi="Times New Roman" w:eastAsia="楷体_GB2312" w:cs="Times New Roman"/>
          <w:b/>
          <w:bCs/>
          <w:color w:val="auto"/>
          <w:kern w:val="2"/>
          <w:sz w:val="32"/>
          <w:szCs w:val="32"/>
          <w:vertAlign w:val="baseline"/>
          <w:lang w:val="en-US" w:eastAsia="zh-CN" w:bidi="ar-SA"/>
        </w:rPr>
        <w:t>四</w:t>
      </w:r>
      <w:r>
        <w:rPr>
          <w:rFonts w:hint="default" w:ascii="Times New Roman" w:hAnsi="Times New Roman" w:eastAsia="楷体_GB2312" w:cs="Times New Roman"/>
          <w:b/>
          <w:bCs/>
          <w:color w:val="auto"/>
          <w:kern w:val="2"/>
          <w:sz w:val="32"/>
          <w:szCs w:val="32"/>
          <w:vertAlign w:val="baseline"/>
          <w:lang w:val="en-US" w:eastAsia="zh-CN" w:bidi="ar-SA"/>
        </w:rPr>
        <w:t>）持续风险防范，维护高质量发展新屏障。</w:t>
      </w:r>
      <w:r>
        <w:rPr>
          <w:rFonts w:hint="default" w:ascii="Times New Roman" w:hAnsi="Times New Roman" w:eastAsia="仿宋_GB2312" w:cs="Times New Roman"/>
          <w:b w:val="0"/>
          <w:bCs w:val="0"/>
          <w:color w:val="auto"/>
          <w:sz w:val="32"/>
          <w:szCs w:val="32"/>
          <w:lang w:val="en-US" w:eastAsia="zh-CN"/>
        </w:rPr>
        <w:t>一是不断完善债务风险预警机制，加强企业债务风险动态监测，坚决守住不发生</w:t>
      </w:r>
      <w:r>
        <w:rPr>
          <w:rFonts w:hint="eastAsia" w:ascii="Times New Roman" w:hAnsi="Times New Roman" w:eastAsia="仿宋_GB2312" w:cs="Times New Roman"/>
          <w:b w:val="0"/>
          <w:bCs w:val="0"/>
          <w:color w:val="auto"/>
          <w:sz w:val="32"/>
          <w:szCs w:val="32"/>
          <w:lang w:val="en-US" w:eastAsia="zh-CN"/>
        </w:rPr>
        <w:t>重大风险</w:t>
      </w:r>
      <w:r>
        <w:rPr>
          <w:rFonts w:hint="default" w:ascii="Times New Roman" w:hAnsi="Times New Roman" w:eastAsia="仿宋_GB2312" w:cs="Times New Roman"/>
          <w:b w:val="0"/>
          <w:bCs w:val="0"/>
          <w:color w:val="auto"/>
          <w:sz w:val="32"/>
          <w:szCs w:val="32"/>
          <w:lang w:val="en-US" w:eastAsia="zh-CN"/>
        </w:rPr>
        <w:t>的底线。二是突出抓好安全生产，制定出台《县出资监管企业安全生产治本攻坚三年行动实施方案（2024</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2026年）》，进一步完善隐患排查治理体系，实行闭环管理，确保不发生重特大生产安全事故。全力做好信访维稳、意识形态等方面工作，确保精准、及时、有效防范化解各类风险。三是</w:t>
      </w:r>
      <w:r>
        <w:rPr>
          <w:rFonts w:hint="eastAsia" w:ascii="Times New Roman" w:hAnsi="Times New Roman" w:eastAsia="仿宋_GB2312" w:cs="Times New Roman"/>
          <w:b w:val="0"/>
          <w:bCs w:val="0"/>
          <w:color w:val="auto"/>
          <w:sz w:val="32"/>
          <w:szCs w:val="32"/>
          <w:lang w:val="en-US" w:eastAsia="zh-CN"/>
        </w:rPr>
        <w:t>推动兴弋担保公司加强防范代偿风险能力，</w:t>
      </w:r>
      <w:r>
        <w:rPr>
          <w:rFonts w:hint="default" w:ascii="Times New Roman" w:hAnsi="Times New Roman" w:eastAsia="仿宋_GB2312" w:cs="Times New Roman"/>
          <w:b w:val="0"/>
          <w:bCs w:val="0"/>
          <w:color w:val="auto"/>
          <w:sz w:val="32"/>
          <w:szCs w:val="32"/>
          <w:lang w:val="en-US" w:eastAsia="zh-CN"/>
        </w:rPr>
        <w:t>根据不同行业客户特点，有针对性地建立担保业务风险识别、评价、控制、处置等管理体系，利用多种尽调方式，全面了解企业情况。</w:t>
      </w:r>
      <w:r>
        <w:rPr>
          <w:rFonts w:hint="eastAsia" w:ascii="Times New Roman" w:hAnsi="Times New Roman" w:eastAsia="仿宋_GB2312" w:cs="Times New Roman"/>
          <w:b w:val="0"/>
          <w:bCs w:val="0"/>
          <w:color w:val="auto"/>
          <w:sz w:val="32"/>
          <w:szCs w:val="32"/>
          <w:lang w:val="en-US" w:eastAsia="zh-CN"/>
        </w:rPr>
        <w:t>同时</w:t>
      </w:r>
      <w:r>
        <w:rPr>
          <w:rFonts w:hint="default" w:ascii="Times New Roman" w:hAnsi="Times New Roman" w:eastAsia="仿宋_GB2312" w:cs="Times New Roman"/>
          <w:b w:val="0"/>
          <w:bCs w:val="0"/>
          <w:color w:val="auto"/>
          <w:sz w:val="32"/>
          <w:szCs w:val="32"/>
          <w:lang w:val="en-US" w:eastAsia="zh-CN"/>
        </w:rPr>
        <w:t>加强保后监督管理，及时形成保后检查记录台账或报告，提高风险预防能力，降低国有资产流失风险。</w:t>
      </w:r>
      <w:bookmarkStart w:id="0" w:name="_GoBack"/>
      <w:bookmarkEnd w:id="0"/>
    </w:p>
    <w:sectPr>
      <w:footerReference r:id="rId3" w:type="default"/>
      <w:pgSz w:w="11906" w:h="16838"/>
      <w:pgMar w:top="1587"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B8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5EDD2">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15EDD2">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v:textbox>
            </v:shape>
          </w:pict>
        </mc:Fallback>
      </mc:AlternateContent>
    </w:r>
  </w:p>
  <w:p w14:paraId="4F87D09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EC638"/>
    <w:multiLevelType w:val="singleLevel"/>
    <w:tmpl w:val="9D0EC638"/>
    <w:lvl w:ilvl="0" w:tentative="0">
      <w:start w:val="1"/>
      <w:numFmt w:val="chineseCounting"/>
      <w:suff w:val="nothing"/>
      <w:lvlText w:val="（%1）"/>
      <w:lvlJc w:val="left"/>
      <w:rPr>
        <w:rFonts w:hint="eastAsia"/>
      </w:rPr>
    </w:lvl>
  </w:abstractNum>
  <w:abstractNum w:abstractNumId="1">
    <w:nsid w:val="C3E4AB70"/>
    <w:multiLevelType w:val="singleLevel"/>
    <w:tmpl w:val="C3E4AB70"/>
    <w:lvl w:ilvl="0" w:tentative="0">
      <w:start w:val="3"/>
      <w:numFmt w:val="chineseCounting"/>
      <w:suff w:val="nothing"/>
      <w:lvlText w:val="（%1）"/>
      <w:lvlJc w:val="left"/>
      <w:rPr>
        <w:rFonts w:hint="eastAsia"/>
      </w:rPr>
    </w:lvl>
  </w:abstractNum>
  <w:abstractNum w:abstractNumId="2">
    <w:nsid w:val="689C6D8E"/>
    <w:multiLevelType w:val="singleLevel"/>
    <w:tmpl w:val="689C6D8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OTVmMjk1Y2IwZWU5YmNkMjE4MGZlYWU0ZGQyYzkifQ=="/>
  </w:docVars>
  <w:rsids>
    <w:rsidRoot w:val="6978656F"/>
    <w:rsid w:val="00953D9C"/>
    <w:rsid w:val="0126461C"/>
    <w:rsid w:val="01657C13"/>
    <w:rsid w:val="01A81972"/>
    <w:rsid w:val="022A59C8"/>
    <w:rsid w:val="024535A0"/>
    <w:rsid w:val="02927A0A"/>
    <w:rsid w:val="029C4FFB"/>
    <w:rsid w:val="02C31095"/>
    <w:rsid w:val="051554AC"/>
    <w:rsid w:val="054B4500"/>
    <w:rsid w:val="058C5235"/>
    <w:rsid w:val="07F43085"/>
    <w:rsid w:val="08AB0B44"/>
    <w:rsid w:val="091C7041"/>
    <w:rsid w:val="09376E5C"/>
    <w:rsid w:val="096D3B08"/>
    <w:rsid w:val="09D606FF"/>
    <w:rsid w:val="0A4F1460"/>
    <w:rsid w:val="0A79028B"/>
    <w:rsid w:val="0AC43BFC"/>
    <w:rsid w:val="0B0A5387"/>
    <w:rsid w:val="0B2533A3"/>
    <w:rsid w:val="0C436196"/>
    <w:rsid w:val="0CFC2A90"/>
    <w:rsid w:val="0DB25F8E"/>
    <w:rsid w:val="0E211365"/>
    <w:rsid w:val="0E7B2823"/>
    <w:rsid w:val="0EC919C7"/>
    <w:rsid w:val="0F0D5446"/>
    <w:rsid w:val="0F572DB6"/>
    <w:rsid w:val="0F7F257A"/>
    <w:rsid w:val="0FDC0130"/>
    <w:rsid w:val="10842185"/>
    <w:rsid w:val="119F025B"/>
    <w:rsid w:val="123073AE"/>
    <w:rsid w:val="123D2997"/>
    <w:rsid w:val="13B80076"/>
    <w:rsid w:val="13C917B3"/>
    <w:rsid w:val="13D67324"/>
    <w:rsid w:val="147324B5"/>
    <w:rsid w:val="14FB0C70"/>
    <w:rsid w:val="15AA57C9"/>
    <w:rsid w:val="161B25E6"/>
    <w:rsid w:val="162B5273"/>
    <w:rsid w:val="182A4EC1"/>
    <w:rsid w:val="18502F73"/>
    <w:rsid w:val="1917583F"/>
    <w:rsid w:val="19D4440C"/>
    <w:rsid w:val="1ABC044C"/>
    <w:rsid w:val="1B032C2D"/>
    <w:rsid w:val="1B2E0C1E"/>
    <w:rsid w:val="1B4C278B"/>
    <w:rsid w:val="1BB47375"/>
    <w:rsid w:val="1C0379F3"/>
    <w:rsid w:val="1C454471"/>
    <w:rsid w:val="1D3A2A22"/>
    <w:rsid w:val="1D7673CC"/>
    <w:rsid w:val="1D90796E"/>
    <w:rsid w:val="1DCA75E6"/>
    <w:rsid w:val="1E222CBC"/>
    <w:rsid w:val="1E2A58C2"/>
    <w:rsid w:val="1F0827F2"/>
    <w:rsid w:val="21726795"/>
    <w:rsid w:val="219E674B"/>
    <w:rsid w:val="21A243D4"/>
    <w:rsid w:val="225418B2"/>
    <w:rsid w:val="22925169"/>
    <w:rsid w:val="235245CC"/>
    <w:rsid w:val="242D4168"/>
    <w:rsid w:val="249E1096"/>
    <w:rsid w:val="24C8739E"/>
    <w:rsid w:val="254C646A"/>
    <w:rsid w:val="25D627BB"/>
    <w:rsid w:val="26F55BF7"/>
    <w:rsid w:val="2760303D"/>
    <w:rsid w:val="295126A7"/>
    <w:rsid w:val="2A0E7DE5"/>
    <w:rsid w:val="2A3C6EB3"/>
    <w:rsid w:val="2AB52DD7"/>
    <w:rsid w:val="2AB56C65"/>
    <w:rsid w:val="2B9047EA"/>
    <w:rsid w:val="2BDC333F"/>
    <w:rsid w:val="2C7D37B3"/>
    <w:rsid w:val="2D39592C"/>
    <w:rsid w:val="2E3E4E4C"/>
    <w:rsid w:val="2E5C3FC8"/>
    <w:rsid w:val="2EBA6F40"/>
    <w:rsid w:val="2F051E2D"/>
    <w:rsid w:val="2F0F41E4"/>
    <w:rsid w:val="2F24457F"/>
    <w:rsid w:val="2FC242FE"/>
    <w:rsid w:val="308B2942"/>
    <w:rsid w:val="30C57826"/>
    <w:rsid w:val="30F93D50"/>
    <w:rsid w:val="3126266B"/>
    <w:rsid w:val="34975B0F"/>
    <w:rsid w:val="368C042F"/>
    <w:rsid w:val="36BD137C"/>
    <w:rsid w:val="37FB3AC8"/>
    <w:rsid w:val="38237904"/>
    <w:rsid w:val="39B80A3E"/>
    <w:rsid w:val="39C5592E"/>
    <w:rsid w:val="3A634524"/>
    <w:rsid w:val="3A8C0D32"/>
    <w:rsid w:val="3A9B5A66"/>
    <w:rsid w:val="3B7E168C"/>
    <w:rsid w:val="3C776A07"/>
    <w:rsid w:val="3CB15FCA"/>
    <w:rsid w:val="3CF066EE"/>
    <w:rsid w:val="3F536D21"/>
    <w:rsid w:val="3F620D12"/>
    <w:rsid w:val="4034629D"/>
    <w:rsid w:val="416C585E"/>
    <w:rsid w:val="41B31CF9"/>
    <w:rsid w:val="41D3647F"/>
    <w:rsid w:val="422A1486"/>
    <w:rsid w:val="43DF67D9"/>
    <w:rsid w:val="44AB4F09"/>
    <w:rsid w:val="44E06EED"/>
    <w:rsid w:val="452E7C69"/>
    <w:rsid w:val="45400560"/>
    <w:rsid w:val="45515460"/>
    <w:rsid w:val="45D41F85"/>
    <w:rsid w:val="462B6C96"/>
    <w:rsid w:val="4662784A"/>
    <w:rsid w:val="46DB4E5F"/>
    <w:rsid w:val="46E45536"/>
    <w:rsid w:val="472D60AA"/>
    <w:rsid w:val="477204AD"/>
    <w:rsid w:val="48C7184D"/>
    <w:rsid w:val="49F033BE"/>
    <w:rsid w:val="49FE3697"/>
    <w:rsid w:val="4A3137BD"/>
    <w:rsid w:val="4A386C03"/>
    <w:rsid w:val="4A447B34"/>
    <w:rsid w:val="4AB41027"/>
    <w:rsid w:val="4AC129A4"/>
    <w:rsid w:val="4B5E565E"/>
    <w:rsid w:val="4D2E1807"/>
    <w:rsid w:val="4D704AE5"/>
    <w:rsid w:val="4D851434"/>
    <w:rsid w:val="4EB75B15"/>
    <w:rsid w:val="4EDB463D"/>
    <w:rsid w:val="4EE554BC"/>
    <w:rsid w:val="4FBF329B"/>
    <w:rsid w:val="505F4DFA"/>
    <w:rsid w:val="50D45BAF"/>
    <w:rsid w:val="518C1C1F"/>
    <w:rsid w:val="52013BBD"/>
    <w:rsid w:val="52A116FA"/>
    <w:rsid w:val="53224005"/>
    <w:rsid w:val="53484560"/>
    <w:rsid w:val="53E279F6"/>
    <w:rsid w:val="54012CB9"/>
    <w:rsid w:val="54012FD3"/>
    <w:rsid w:val="553E1482"/>
    <w:rsid w:val="55D63D2B"/>
    <w:rsid w:val="55E14F31"/>
    <w:rsid w:val="56D7393C"/>
    <w:rsid w:val="58FC58DC"/>
    <w:rsid w:val="59E35F7B"/>
    <w:rsid w:val="5A4F7C8D"/>
    <w:rsid w:val="5ADB597E"/>
    <w:rsid w:val="5B617A3F"/>
    <w:rsid w:val="5CE1477E"/>
    <w:rsid w:val="5CEE7C31"/>
    <w:rsid w:val="5DDA5009"/>
    <w:rsid w:val="5E895E64"/>
    <w:rsid w:val="604C00D9"/>
    <w:rsid w:val="606D0B9E"/>
    <w:rsid w:val="60885CA7"/>
    <w:rsid w:val="60AC6DD5"/>
    <w:rsid w:val="60BB607C"/>
    <w:rsid w:val="61997FD5"/>
    <w:rsid w:val="6230714F"/>
    <w:rsid w:val="624349D1"/>
    <w:rsid w:val="64AD3FA8"/>
    <w:rsid w:val="6547148C"/>
    <w:rsid w:val="658D0CE1"/>
    <w:rsid w:val="65EF4235"/>
    <w:rsid w:val="663E18D2"/>
    <w:rsid w:val="668F55BC"/>
    <w:rsid w:val="66AB7E42"/>
    <w:rsid w:val="67753429"/>
    <w:rsid w:val="67C27D3C"/>
    <w:rsid w:val="68636AA4"/>
    <w:rsid w:val="68CD426D"/>
    <w:rsid w:val="6978656F"/>
    <w:rsid w:val="69AA0CD3"/>
    <w:rsid w:val="69B832C9"/>
    <w:rsid w:val="6A837C0B"/>
    <w:rsid w:val="6AC5495F"/>
    <w:rsid w:val="6E423939"/>
    <w:rsid w:val="6EE13B87"/>
    <w:rsid w:val="6F2D0929"/>
    <w:rsid w:val="70263E9E"/>
    <w:rsid w:val="70A16BBC"/>
    <w:rsid w:val="71653B96"/>
    <w:rsid w:val="71730F49"/>
    <w:rsid w:val="71771503"/>
    <w:rsid w:val="71C85B51"/>
    <w:rsid w:val="723F61C1"/>
    <w:rsid w:val="72A41658"/>
    <w:rsid w:val="73B33289"/>
    <w:rsid w:val="74727A0A"/>
    <w:rsid w:val="758111EB"/>
    <w:rsid w:val="762D4ECF"/>
    <w:rsid w:val="7687747D"/>
    <w:rsid w:val="78C7160B"/>
    <w:rsid w:val="797D43BF"/>
    <w:rsid w:val="7A04063C"/>
    <w:rsid w:val="7B1623D5"/>
    <w:rsid w:val="7B4B6523"/>
    <w:rsid w:val="7C0B406B"/>
    <w:rsid w:val="7E54621A"/>
    <w:rsid w:val="7EBE700C"/>
    <w:rsid w:val="7F1261D6"/>
    <w:rsid w:val="7FBB6EFF"/>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line="240" w:lineRule="auto"/>
      <w:ind w:left="1440" w:leftChars="700" w:rightChars="700"/>
    </w:pPr>
    <w:rPr>
      <w:rFonts w:eastAsia="宋体" w:cs="Times New Roman"/>
      <w:sz w:val="21"/>
      <w:szCs w:val="24"/>
    </w:rPr>
  </w:style>
  <w:style w:type="paragraph" w:styleId="3">
    <w:name w:val="Plain Text"/>
    <w:basedOn w:val="1"/>
    <w:next w:val="4"/>
    <w:unhideWhenUsed/>
    <w:qFormat/>
    <w:uiPriority w:val="0"/>
    <w:pPr>
      <w:pBdr>
        <w:top w:val="single" w:color="FFFFFF" w:sz="4" w:space="0"/>
        <w:left w:val="single" w:color="FFFFFF" w:sz="4" w:space="4"/>
        <w:bottom w:val="single" w:color="FFFFFF" w:sz="4" w:space="30"/>
        <w:right w:val="single" w:color="FFFFFF" w:sz="4" w:space="7"/>
      </w:pBdr>
      <w:autoSpaceDE w:val="0"/>
      <w:adjustRightInd w:val="0"/>
      <w:snapToGrid w:val="0"/>
      <w:spacing w:line="560" w:lineRule="exact"/>
      <w:ind w:firstLine="640" w:firstLineChars="200"/>
    </w:pPr>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spacing w:line="660" w:lineRule="exact"/>
      <w:ind w:firstLine="705"/>
    </w:pPr>
    <w:rPr>
      <w:rFonts w:ascii="仿宋_GB2312" w:eastAsia="仿宋_GB2312"/>
      <w:color w:val="000000"/>
      <w:szCs w:val="36"/>
    </w:rPr>
  </w:style>
  <w:style w:type="paragraph" w:styleId="7">
    <w:name w:val="footnote text"/>
    <w:basedOn w:val="1"/>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5652</Words>
  <Characters>5899</Characters>
  <Lines>0</Lines>
  <Paragraphs>0</Paragraphs>
  <TotalTime>131</TotalTime>
  <ScaleCrop>false</ScaleCrop>
  <LinksUpToDate>false</LinksUpToDate>
  <CharactersWithSpaces>5903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2023-08-18T06:53:00Z</dcterms:created>
  <dc:creator>白海亭</dc:creator>
  <cp:lastModifiedBy>白海亭</cp:lastModifiedBy>
  <cp:lastPrinted>2024-11-18T06:52:00Z</cp:lastPrinted>
  <dcterms:modified xsi:type="dcterms:W3CDTF">2024-11-21T08:49:10Z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D9BC2856E1D14C80B9D17837D0852F26_13</vt:lpwstr>
  </property>
</Properties>
</file>