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BCB25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【起草说明】《弋阳县林业经营收益权证登记管理办法（试行）》的起草说明</w:t>
      </w:r>
    </w:p>
    <w:p w14:paraId="2CA288B9"/>
    <w:p w14:paraId="5998E0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一、起草背景和过程</w:t>
      </w:r>
    </w:p>
    <w:p w14:paraId="18CF0A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根据省委深改办《2022年江西省探索和推广的改革项目清单》（赣改办字〔2022〕13号）、省林业局办公室《推广资溪县林权收储担保运营改革经验实施方案（试行）》（赣林办发〔2022〕114号）和《中共江西省委、江西省人民政府关于印发&lt;江西省深化集体林权制度改革先行区建设方案&gt;的通知》要求，我县被确定为全省30个试点县之一，结合本地区实际，县林业局草拟了《弋阳县林业经营收益权证登记</w:t>
      </w:r>
    </w:p>
    <w:p w14:paraId="378243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管理办法（征求意见稿）》，并征求了县直有关单位和各乡镇意见建议，形成此稿，现向社会公众进一步征求意见建议。</w:t>
      </w:r>
    </w:p>
    <w:p w14:paraId="726B94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二、主要内容</w:t>
      </w:r>
    </w:p>
    <w:p w14:paraId="38F3F8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本办法共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二十六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条，涵盖总则、申请与审核、有关责任、附则等内容。</w:t>
      </w:r>
    </w:p>
    <w:p w14:paraId="2C66BA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第一章总则（共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条）：一是本办法制定的依据；二是林业经营收益权的概念；三是</w:t>
      </w:r>
      <w:r>
        <w:rPr>
          <w:rFonts w:hint="eastAsia" w:ascii="仿宋_GB2312" w:hAnsi="仿宋_GB2312" w:eastAsia="仿宋_GB2312" w:cs="仿宋_GB2312"/>
          <w:sz w:val="32"/>
          <w:szCs w:val="32"/>
        </w:rPr>
        <w:t>不得发证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的情形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；四是林业经营收益权登记工作的原则；五是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经营主体可办理事项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；六是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相关部门职能；七是</w:t>
      </w:r>
      <w:r>
        <w:rPr>
          <w:rFonts w:ascii="仿宋_GB2312" w:hAnsi="仿宋_GB2312" w:eastAsia="仿宋_GB2312" w:cs="仿宋_GB2312"/>
          <w:sz w:val="32"/>
          <w:szCs w:val="32"/>
        </w:rPr>
        <w:t>林业经营收益权证应当记载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事项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。</w:t>
      </w:r>
    </w:p>
    <w:p w14:paraId="1B6E59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第二章申请与审核（共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条）： 一是登记申请人身份要求；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申请应当提交的材料；三是受理流程和要求；四是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申请林业经营权证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调查公示流程；五是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申请林业经营权证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初审流程；六是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申请林业经营权证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审核流程；七是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申请林业经营权证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登簿发证流程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八是林业经营收益权证颁发后，将原权属证书原件退还给申请人；九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是申请林业经营权证变更登记的情形；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是申请林业经营权证转移登记的情形；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十一是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申请林业经营权证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抵押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登记的情形；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十二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是林业经营权证注销登记的情形；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十三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是申请办理变更、转移、注销登记需提交相关材料。</w:t>
      </w:r>
    </w:p>
    <w:p w14:paraId="4B80E6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第三章有关责任（共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 xml:space="preserve">条）: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一是林业部门应当与自然资源部门应当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建立协同和数据共享机制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持证人承担赔偿责任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的情形；三是虚假申请材料的相关责任。</w:t>
      </w:r>
    </w:p>
    <w:p w14:paraId="1DC16B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章附则（共3条）: 一是明确林业经营收益权登记工作经费；二是本办法由区林业局负责解释；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三是</w:t>
      </w:r>
      <w:r>
        <w:rPr>
          <w:rFonts w:ascii="仿宋_GB2312" w:hAnsi="仿宋_GB2312" w:eastAsia="仿宋_GB2312" w:cs="仿宋_GB2312"/>
          <w:sz w:val="32"/>
          <w:szCs w:val="32"/>
        </w:rPr>
        <w:t>本办法自</w:t>
      </w:r>
      <w:r>
        <w:rPr>
          <w:rFonts w:hint="eastAsia" w:ascii="仿宋_GB2312" w:hAnsi="仿宋_GB2312" w:eastAsia="仿宋_GB2312" w:cs="仿宋_GB2312"/>
          <w:sz w:val="32"/>
          <w:szCs w:val="32"/>
        </w:rPr>
        <w:t>颁布之日起施行，试行期二年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AD467E"/>
    <w:rsid w:val="1A1520A0"/>
    <w:rsid w:val="1F781B8F"/>
    <w:rsid w:val="45AD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Calibri" w:hAnsi="Calibri" w:eastAsia="仿宋"/>
      <w:sz w:val="32"/>
    </w:rPr>
  </w:style>
  <w:style w:type="paragraph" w:styleId="4">
    <w:name w:val="Block Text"/>
    <w:basedOn w:val="1"/>
    <w:qFormat/>
    <w:uiPriority w:val="0"/>
    <w:pPr>
      <w:ind w:left="1440" w:leftChars="700" w:right="700" w:rightChars="700"/>
    </w:pPr>
  </w:style>
  <w:style w:type="paragraph" w:styleId="5">
    <w:name w:val="Plain Text"/>
    <w:basedOn w:val="1"/>
    <w:next w:val="6"/>
    <w:qFormat/>
    <w:uiPriority w:val="0"/>
    <w:pPr>
      <w:widowControl w:val="0"/>
      <w:spacing w:after="0"/>
      <w:jc w:val="both"/>
    </w:pPr>
    <w:rPr>
      <w:rFonts w:hint="eastAsia" w:ascii="Times New Roman" w:hAnsi="Courier New" w:eastAsia="宋体" w:cs="Courier New"/>
      <w:color w:val="000000"/>
      <w:kern w:val="2"/>
      <w:sz w:val="21"/>
      <w:szCs w:val="21"/>
      <w:lang w:val="en-US" w:eastAsia="zh-CN" w:bidi="ar-SA"/>
    </w:rPr>
  </w:style>
  <w:style w:type="paragraph" w:styleId="6">
    <w:name w:val="header"/>
    <w:basedOn w:val="1"/>
    <w:next w:val="4"/>
    <w:qFormat/>
    <w:uiPriority w:val="99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785</Words>
  <Characters>799</Characters>
  <Lines>0</Lines>
  <Paragraphs>0</Paragraphs>
  <TotalTime>1</TotalTime>
  <ScaleCrop>false</ScaleCrop>
  <LinksUpToDate>false</LinksUpToDate>
  <CharactersWithSpaces>802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2024-12-18T02:13:00Z</dcterms:created>
  <dc:creator>Administrator</dc:creator>
  <cp:lastModifiedBy>朽年</cp:lastModifiedBy>
  <dcterms:modified xsi:type="dcterms:W3CDTF">2024-12-20T12:19:14Z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04EEF6063D0A4A38878FDCDBAA1A645B_13</vt:lpwstr>
  </property>
</Properties>
</file>