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color w:val="00000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/>
          <w:color w:val="000000"/>
          <w:sz w:val="44"/>
          <w:szCs w:val="44"/>
          <w:lang w:val="en-US" w:eastAsia="zh-CN"/>
        </w:rPr>
        <w:t>弋阳县</w:t>
      </w:r>
      <w:r>
        <w:rPr>
          <w:rFonts w:hint="eastAsia" w:ascii="黑体" w:hAnsi="黑体" w:eastAsia="黑体" w:cs="黑体"/>
          <w:b/>
          <w:color w:val="000000"/>
          <w:sz w:val="44"/>
          <w:szCs w:val="44"/>
        </w:rPr>
        <w:t>202</w:t>
      </w:r>
      <w:r>
        <w:rPr>
          <w:rFonts w:hint="eastAsia" w:ascii="黑体" w:hAnsi="黑体" w:eastAsia="黑体" w:cs="黑体"/>
          <w:b/>
          <w:color w:val="000000"/>
          <w:sz w:val="44"/>
          <w:szCs w:val="44"/>
          <w:lang w:val="en-US"/>
        </w:rPr>
        <w:t>3</w:t>
      </w:r>
      <w:r>
        <w:rPr>
          <w:rFonts w:hint="eastAsia" w:ascii="黑体" w:hAnsi="黑体" w:eastAsia="黑体" w:cs="黑体"/>
          <w:b/>
          <w:color w:val="000000"/>
          <w:sz w:val="44"/>
          <w:szCs w:val="44"/>
        </w:rPr>
        <w:t>年度</w:t>
      </w:r>
      <w:r>
        <w:rPr>
          <w:rFonts w:hint="eastAsia" w:ascii="黑体" w:hAnsi="黑体" w:eastAsia="黑体" w:cs="黑体"/>
          <w:b/>
          <w:color w:val="000000"/>
          <w:sz w:val="44"/>
          <w:szCs w:val="44"/>
          <w:lang w:val="en-US" w:eastAsia="zh-CN"/>
        </w:rPr>
        <w:t>住宅</w:t>
      </w:r>
      <w:r>
        <w:rPr>
          <w:rFonts w:hint="eastAsia" w:ascii="黑体" w:hAnsi="黑体" w:eastAsia="黑体" w:cs="黑体"/>
          <w:b/>
          <w:color w:val="000000"/>
          <w:sz w:val="44"/>
          <w:szCs w:val="44"/>
        </w:rPr>
        <w:t>用地</w:t>
      </w:r>
      <w:r>
        <w:rPr>
          <w:rFonts w:hint="eastAsia" w:ascii="黑体" w:hAnsi="黑体" w:eastAsia="黑体" w:cs="黑体"/>
          <w:b/>
          <w:color w:val="000000"/>
          <w:sz w:val="44"/>
          <w:szCs w:val="44"/>
          <w:lang w:val="en-US" w:eastAsia="zh-CN"/>
        </w:rPr>
        <w:t>计划</w:t>
      </w:r>
    </w:p>
    <w:p>
      <w:p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</w:p>
    <w:p>
      <w:pPr>
        <w:ind w:firstLine="640" w:firstLineChars="200"/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2023年度我县住宅用地计划总量为1233.11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亩，具体清单明细如下：</w:t>
      </w:r>
    </w:p>
    <w:p>
      <w:pPr>
        <w:pStyle w:val="2"/>
        <w:numPr>
          <w:ilvl w:val="0"/>
          <w:numId w:val="1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面积约5.4亩坐落于凤凰大道以东，迎宾路以西的住宅项目（占用存量建设用地）</w:t>
      </w:r>
    </w:p>
    <w:p>
      <w:pPr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2、面积约101.11亩坐落于县交警大队以北、清湖路以南的商住项目（预计占用2023年批次新增建设用地）</w:t>
      </w:r>
    </w:p>
    <w:p>
      <w:pPr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3、面积约56.8亩坐落于凤凰大道以东、清湖路以北的商住项目（预计占用2023年批次新增建设用地）</w:t>
      </w:r>
    </w:p>
    <w:p>
      <w:pP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4、面积约63.1亩坐落于亿都新洲商博城西侧的住宅项目（占用2019年第3批次集镇建设用地、2022年第2批次城市建设用地）</w:t>
      </w:r>
    </w:p>
    <w:p>
      <w:pPr>
        <w:pStyle w:val="2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5、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面积约140.2亩坐落于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东兴大道以西、百望未来城以北的商住项目（预计占用弋阳县2023年第二批次城市建设用地）</w:t>
      </w:r>
    </w:p>
    <w:p>
      <w:pP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6、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面积约101.9亩旭光路以南、凤凰大道以西的商住项目（占用存量建设用地）</w:t>
      </w:r>
    </w:p>
    <w:p>
      <w:pPr>
        <w:pStyle w:val="2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7、面积约86.73亩旭光路以南、学院路以东的商住项目（占用存量建设用地）</w:t>
      </w:r>
    </w:p>
    <w:p>
      <w:pP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8、面积约131.92亩旭光路以南、学院路以西的商住项目（占用存量建设用地）</w:t>
      </w:r>
    </w:p>
    <w:p>
      <w:pPr>
        <w:pStyle w:val="2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9、面积约83.3亩白马大道以东、东兴大道以西的住宅项目（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预计占用弋阳县2023年第二批次城市建设用地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）</w:t>
      </w:r>
    </w:p>
    <w:p>
      <w:pPr>
        <w:pStyle w:val="2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10、面积约41.2亩湖塘路以南、白马大道以西的住宅项目（预计占用2023年批次新增建设用地）</w:t>
      </w:r>
    </w:p>
    <w:p>
      <w:pPr>
        <w:pStyle w:val="2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11、面积约39.8亩学府路以南、广和明月苑以西的住宅项目（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预计占用弋阳县2023年第二批次城市建设用地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）</w:t>
      </w:r>
    </w:p>
    <w:p>
      <w:pPr>
        <w:pStyle w:val="2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12、面积约76.9亩县法院以东、东兴大道以西的住宅项目（预计占用2023年批次新增建设用地）</w:t>
      </w:r>
    </w:p>
    <w:p>
      <w:p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13、面积约77亩康伯路以南、东兴大道以西的住宅项目（预计占用2023年批次新增建设用地）</w:t>
      </w:r>
    </w:p>
    <w:p>
      <w:p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14、面积约96.16亩白马大道以东、谢叠山学校以北的住宅项目（预计占用2023年批次新增建设用地）</w:t>
      </w:r>
    </w:p>
    <w:p>
      <w:pPr>
        <w:pStyle w:val="2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15、面积约45.05亩凤凰大道以西、凤石罗家以东的商住项目（预计占用2023年批次新增建设用地）</w:t>
      </w:r>
    </w:p>
    <w:p>
      <w:p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16、面积约40.41亩方志敏大道西侧、原县中医院的商住项目（占用存量建设用地）</w:t>
      </w:r>
    </w:p>
    <w:p>
      <w:pPr>
        <w:pStyle w:val="2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17、面积约38.4亩东站大道以北、祥和小区以东的商住项目（占用存量建设用地）</w:t>
      </w:r>
    </w:p>
    <w:p>
      <w:pPr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18、面积约7.73亩位于花亭幼儿园以南的住宅项目（占用存量建设用地）</w:t>
      </w:r>
    </w:p>
    <w:p/>
    <w:p>
      <w:pPr>
        <w:pStyle w:val="2"/>
      </w:pPr>
    </w:p>
    <w:p>
      <w:pPr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 xml:space="preserve">      2023年3月17日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1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EA355A3"/>
    <w:multiLevelType w:val="singleLevel"/>
    <w:tmpl w:val="8EA355A3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hkOWU1NGViOTE2MDczY2Y0MWY0ZDA1NzliZDdmMjcifQ=="/>
  </w:docVars>
  <w:rsids>
    <w:rsidRoot w:val="7AC57F17"/>
    <w:rsid w:val="25B20DC9"/>
    <w:rsid w:val="25EA28F0"/>
    <w:rsid w:val="413249ED"/>
    <w:rsid w:val="75CB690A"/>
    <w:rsid w:val="7AC5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1"/>
    <w:rPr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734</Words>
  <Characters>852</Characters>
  <Lines>0</Lines>
  <Paragraphs>0</Paragraphs>
  <TotalTime>8</TotalTime>
  <ScaleCrop>false</ScaleCrop>
  <LinksUpToDate>false</LinksUpToDate>
  <CharactersWithSpaces>903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2023-03-17T08:09:00Z</dcterms:created>
  <dc:creator>Dogfight</dc:creator>
  <cp:lastModifiedBy>Dogfight</cp:lastModifiedBy>
  <cp:lastPrinted>2023-03-17T08:17:00Z</cp:lastPrinted>
  <dcterms:modified xsi:type="dcterms:W3CDTF">2023-03-28T00:52:26Z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FAF50EFDBD5344ECBF20386D6CFA863E</vt:lpwstr>
  </property>
</Properties>
</file>