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8" w:lineRule="auto"/>
        <w:ind w:left="4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hint="eastAsia" w:ascii="黑体" w:hAnsi="黑体" w:eastAsia="黑体" w:cs="黑体"/>
          <w:spacing w:val="1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eastAsia="zh-CN"/>
        </w:rPr>
        <w:t>弋阳县退役军人事务局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ascii="黑体" w:hAnsi="黑体" w:eastAsia="黑体" w:cs="黑体"/>
          <w:spacing w:val="57"/>
          <w:sz w:val="44"/>
          <w:szCs w:val="44"/>
        </w:rPr>
      </w:pPr>
      <w:r>
        <w:rPr>
          <w:rFonts w:hint="eastAsia" w:ascii="黑体" w:hAnsi="黑体" w:eastAsia="黑体" w:cs="黑体"/>
          <w:spacing w:val="57"/>
          <w:sz w:val="44"/>
          <w:szCs w:val="44"/>
          <w:lang w:val="en-US" w:eastAsia="zh-CN"/>
        </w:rPr>
        <w:t>2022</w:t>
      </w:r>
      <w:r>
        <w:rPr>
          <w:rFonts w:ascii="黑体" w:hAnsi="黑体" w:eastAsia="黑体" w:cs="黑体"/>
          <w:spacing w:val="57"/>
          <w:sz w:val="44"/>
          <w:szCs w:val="44"/>
        </w:rPr>
        <w:t>年度行政执法数据</w:t>
      </w:r>
    </w:p>
    <w:p>
      <w:pPr>
        <w:spacing w:before="86" w:line="228" w:lineRule="auto"/>
        <w:ind w:left="3899"/>
        <w:rPr>
          <w:rFonts w:ascii="黑体" w:hAnsi="黑体" w:eastAsia="黑体" w:cs="黑体"/>
          <w:spacing w:val="-18"/>
          <w:sz w:val="31"/>
          <w:szCs w:val="31"/>
        </w:rPr>
      </w:pPr>
    </w:p>
    <w:p>
      <w:pPr>
        <w:spacing w:before="86" w:line="228" w:lineRule="auto"/>
        <w:ind w:left="3899"/>
        <w:rPr>
          <w:rFonts w:ascii="黑体" w:hAnsi="黑体" w:eastAsia="黑体" w:cs="黑体"/>
          <w:spacing w:val="-18"/>
          <w:sz w:val="31"/>
          <w:szCs w:val="31"/>
        </w:rPr>
      </w:pPr>
    </w:p>
    <w:p>
      <w:pPr>
        <w:spacing w:before="86" w:line="228" w:lineRule="auto"/>
        <w:ind w:left="3899"/>
        <w:rPr>
          <w:rFonts w:ascii="黑体" w:hAnsi="黑体" w:eastAsia="黑体" w:cs="黑体"/>
          <w:spacing w:val="-18"/>
          <w:sz w:val="31"/>
          <w:szCs w:val="31"/>
        </w:rPr>
      </w:pPr>
    </w:p>
    <w:p>
      <w:pPr>
        <w:spacing w:before="86" w:line="228" w:lineRule="auto"/>
        <w:ind w:left="3899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</w:p>
    <w:p>
      <w:pPr>
        <w:spacing w:before="86" w:line="228" w:lineRule="auto"/>
        <w:ind w:left="24" w:leftChars="0" w:hanging="24" w:hangingChars="6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8"/>
          <w:sz w:val="44"/>
          <w:szCs w:val="44"/>
        </w:rPr>
        <w:t>目</w:t>
      </w:r>
      <w:r>
        <w:rPr>
          <w:rFonts w:hint="eastAsia" w:ascii="黑体" w:hAnsi="黑体" w:eastAsia="黑体" w:cs="黑体"/>
          <w:spacing w:val="-18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17"/>
          <w:sz w:val="44"/>
          <w:szCs w:val="44"/>
        </w:rPr>
        <w:t>录</w:t>
      </w:r>
      <w:bookmarkStart w:id="0" w:name="_GoBack"/>
      <w:bookmarkEnd w:id="0"/>
    </w:p>
    <w:p>
      <w:pPr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3"/>
          <w:sz w:val="32"/>
          <w:szCs w:val="32"/>
        </w:rPr>
        <w:t>一、行政执法总体情况统计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9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position w:val="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、行政许可实施情况统计表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1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、行政处罚实施情况统计表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9"/>
          <w:pgMar w:top="1431" w:right="1785" w:bottom="1128" w:left="1785" w:header="0" w:footer="879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五、行政检查实施情况统计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表</w:t>
      </w:r>
    </w:p>
    <w:p>
      <w:pPr>
        <w:spacing w:before="101" w:line="204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eastAsia="zh-CN"/>
        </w:rPr>
        <w:t>弋阳县退役军人事务局</w:t>
      </w: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44"/>
          <w:szCs w:val="44"/>
        </w:rPr>
        <w:t>年度行政执法总体情况统计</w:t>
      </w:r>
      <w:r>
        <w:rPr>
          <w:rFonts w:ascii="黑体" w:hAnsi="黑体" w:eastAsia="黑体" w:cs="黑体"/>
          <w:spacing w:val="7"/>
          <w:sz w:val="44"/>
          <w:szCs w:val="44"/>
        </w:rPr>
        <w:t>表</w:t>
      </w:r>
    </w:p>
    <w:p>
      <w:pPr>
        <w:spacing w:line="98" w:lineRule="exact"/>
      </w:pPr>
    </w:p>
    <w:tbl>
      <w:tblPr>
        <w:tblStyle w:val="6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noWrap w:val="0"/>
            <w:vAlign w:val="top"/>
          </w:tcPr>
          <w:p>
            <w:pPr>
              <w:spacing w:before="38" w:line="233" w:lineRule="auto"/>
              <w:ind w:left="184" w:right="266" w:firstLine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noWrap w:val="0"/>
            <w:vAlign w:val="top"/>
          </w:tcPr>
          <w:p>
            <w:pPr>
              <w:spacing w:before="190" w:line="255" w:lineRule="auto"/>
              <w:ind w:left="0" w:leftChars="0" w:right="154" w:rightChars="0" w:firstLine="0" w:firstLineChars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noWrap w:val="0"/>
            <w:vAlign w:val="top"/>
          </w:tcPr>
          <w:p>
            <w:pPr>
              <w:spacing w:before="191" w:line="255" w:lineRule="auto"/>
              <w:ind w:left="11" w:leftChars="0" w:right="74" w:rightChars="0" w:hanging="11" w:firstLineChars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76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45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32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06" w:line="207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58" w:line="211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50" w:line="209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05" w:line="210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noWrap w:val="0"/>
            <w:vAlign w:val="top"/>
          </w:tcPr>
          <w:p>
            <w:pPr>
              <w:spacing w:before="47" w:line="199" w:lineRule="auto"/>
              <w:ind w:left="5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spacing w:line="222" w:lineRule="auto"/>
              <w:ind w:left="5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99" w:line="208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29" w:line="210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301" w:line="208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300" w:line="210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89" w:line="207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19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spacing w:line="22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9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7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19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8" w:line="207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10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8" w:line="210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59264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2HY92AAAAAoBAAAPAAAAAAAAAAEAIAAAACIAAABkcnMvZG93bnJldi54&#10;bWxQSwECFAAUAAAACACHTuJAJTI4BM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58" w:line="209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2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textDirection w:val="tbRlV"/>
            <w:vAlign w:val="top"/>
          </w:tcPr>
          <w:p>
            <w:pPr>
              <w:spacing w:before="134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noWrap w:val="0"/>
            <w:textDirection w:val="tbRlV"/>
            <w:vAlign w:val="top"/>
          </w:tcPr>
          <w:p>
            <w:pPr>
              <w:spacing w:before="132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noWrap w:val="0"/>
            <w:textDirection w:val="tbRlV"/>
            <w:vAlign w:val="top"/>
          </w:tcPr>
          <w:p>
            <w:pPr>
              <w:spacing w:before="133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noWrap w:val="0"/>
            <w:textDirection w:val="tbRlV"/>
            <w:vAlign w:val="top"/>
          </w:tcPr>
          <w:p>
            <w:pPr>
              <w:spacing w:before="134" w:line="207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9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spacing w:line="223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6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sectPr>
          <w:footerReference r:id="rId4" w:type="default"/>
          <w:pgSz w:w="16839" w:h="11906"/>
          <w:pgMar w:top="1012" w:right="1161" w:bottom="1132" w:left="1327" w:header="0" w:footer="879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pacing w:before="100" w:line="23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表</w:t>
      </w:r>
      <w:r>
        <w:rPr>
          <w:rFonts w:ascii="仿宋" w:hAnsi="仿宋" w:eastAsia="仿宋" w:cs="仿宋"/>
          <w:spacing w:val="-2"/>
          <w:sz w:val="32"/>
          <w:szCs w:val="32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8"/>
          <w:sz w:val="44"/>
          <w:szCs w:val="44"/>
          <w:u w:val="single"/>
          <w:lang w:eastAsia="zh-CN"/>
        </w:rPr>
        <w:t>弋阳县退役军人事务局</w:t>
      </w:r>
      <w:r>
        <w:rPr>
          <w:rFonts w:hint="eastAsia" w:ascii="黑体" w:hAnsi="黑体" w:eastAsia="黑体" w:cs="黑体"/>
          <w:color w:val="333333"/>
          <w:spacing w:val="8"/>
          <w:sz w:val="44"/>
          <w:szCs w:val="44"/>
          <w:u w:val="single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44"/>
          <w:szCs w:val="44"/>
        </w:rPr>
        <w:t>年度</w:t>
      </w:r>
      <w:r>
        <w:rPr>
          <w:rFonts w:ascii="黑体" w:hAnsi="黑体" w:eastAsia="黑体" w:cs="黑体"/>
          <w:spacing w:val="8"/>
          <w:sz w:val="44"/>
          <w:szCs w:val="44"/>
        </w:rPr>
        <w:t>行政许可实施情况统计</w:t>
      </w:r>
      <w:r>
        <w:rPr>
          <w:rFonts w:ascii="黑体" w:hAnsi="黑体" w:eastAsia="黑体" w:cs="黑体"/>
          <w:spacing w:val="5"/>
          <w:sz w:val="44"/>
          <w:szCs w:val="44"/>
        </w:rPr>
        <w:t>表</w:t>
      </w:r>
    </w:p>
    <w:p>
      <w:pPr>
        <w:spacing w:line="98" w:lineRule="exact"/>
      </w:pP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noWrap w:val="0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63" w:line="228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弋阳县退役军人事务局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7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计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9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sectPr>
          <w:footerReference r:id="rId5" w:type="default"/>
          <w:pgSz w:w="16839" w:h="11906"/>
          <w:pgMar w:top="1012" w:right="1327" w:bottom="1128" w:left="1327" w:header="0" w:footer="879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pacing w:before="100" w:line="23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表</w:t>
      </w:r>
      <w:r>
        <w:rPr>
          <w:rFonts w:ascii="仿宋" w:hAnsi="仿宋" w:eastAsia="仿宋" w:cs="仿宋"/>
          <w:spacing w:val="-2"/>
          <w:sz w:val="32"/>
          <w:szCs w:val="32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8"/>
          <w:sz w:val="44"/>
          <w:szCs w:val="44"/>
          <w:u w:val="single"/>
          <w:lang w:eastAsia="zh-CN"/>
        </w:rPr>
        <w:t>弋阳县退役军人事务局</w:t>
      </w:r>
      <w:r>
        <w:rPr>
          <w:rFonts w:hint="eastAsia" w:ascii="黑体" w:hAnsi="黑体" w:eastAsia="黑体" w:cs="黑体"/>
          <w:color w:val="333333"/>
          <w:spacing w:val="8"/>
          <w:sz w:val="44"/>
          <w:szCs w:val="44"/>
          <w:u w:val="single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44"/>
          <w:szCs w:val="44"/>
        </w:rPr>
        <w:t>年度</w:t>
      </w:r>
      <w:r>
        <w:rPr>
          <w:rFonts w:ascii="黑体" w:hAnsi="黑体" w:eastAsia="黑体" w:cs="黑体"/>
          <w:spacing w:val="8"/>
          <w:sz w:val="44"/>
          <w:szCs w:val="44"/>
        </w:rPr>
        <w:t>行政处罚实施情况统计</w:t>
      </w:r>
      <w:r>
        <w:rPr>
          <w:rFonts w:ascii="黑体" w:hAnsi="黑体" w:eastAsia="黑体" w:cs="黑体"/>
          <w:spacing w:val="5"/>
          <w:sz w:val="44"/>
          <w:szCs w:val="44"/>
        </w:rPr>
        <w:t>表</w:t>
      </w:r>
    </w:p>
    <w:p>
      <w:pPr>
        <w:spacing w:line="98" w:lineRule="exact"/>
      </w:pPr>
    </w:p>
    <w:tbl>
      <w:tblPr>
        <w:tblStyle w:val="6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 w:hanging="146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leftChars="0" w:right="0" w:hanging="3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7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128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0" w:right="0" w:firstLine="101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0" w:right="0" w:hanging="1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 w:right="0" w:firstLine="5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5"/>
                <w:szCs w:val="25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1"/>
                <w:sz w:val="25"/>
                <w:szCs w:val="25"/>
                <w:lang w:eastAsia="zh-CN"/>
              </w:rPr>
              <w:t>合计（）宗</w:t>
            </w: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ind w:left="0" w:leftChars="0" w:right="0" w:hanging="9" w:firstLineChars="0"/>
              <w:jc w:val="center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leftChars="0" w:right="0" w:hanging="5" w:firstLine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弋阳县退役军人事务局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leftChars="0" w:right="0" w:hanging="4" w:firstLine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合计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sectPr>
          <w:footerReference r:id="rId6" w:type="default"/>
          <w:pgSz w:w="16839" w:h="11906"/>
          <w:pgMar w:top="1012" w:right="1341" w:bottom="1132" w:left="1327" w:header="0" w:footer="879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“罚没金额”以处罚决定书确定的金额为准。</w:t>
      </w: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eastAsia="zh-CN"/>
        </w:rPr>
        <w:t>弋阳县退役军人事务局</w:t>
      </w: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44"/>
          <w:szCs w:val="44"/>
        </w:rPr>
        <w:t>年度行政强制实施情况统计</w:t>
      </w:r>
      <w:r>
        <w:rPr>
          <w:rFonts w:ascii="黑体" w:hAnsi="黑体" w:eastAsia="黑体" w:cs="黑体"/>
          <w:spacing w:val="7"/>
          <w:sz w:val="44"/>
          <w:szCs w:val="44"/>
        </w:rPr>
        <w:t>表</w:t>
      </w:r>
    </w:p>
    <w:p>
      <w:pPr>
        <w:spacing w:line="98" w:lineRule="exact"/>
      </w:pPr>
    </w:p>
    <w:tbl>
      <w:tblPr>
        <w:tblStyle w:val="6"/>
        <w:tblW w:w="14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37" w:line="214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2" w:line="229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noWrap w:val="0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noWrap w:val="0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48" w:line="213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48" w:line="274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51" w:line="229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50" w:line="228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50" w:line="230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48" w:line="229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2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9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noWrap w:val="0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9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53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247" w:line="274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before="244" w:line="276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spacing w:before="65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48" w:line="229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50" w:line="228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50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noWrap w:val="0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7" w:line="229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49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538" w:type="dxa"/>
            <w:noWrap w:val="0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47" w:line="243" w:lineRule="auto"/>
              <w:ind w:left="0" w:leftChars="0" w:right="117" w:firstLine="0" w:firstLineChars="0"/>
              <w:jc w:val="center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弋阳县退役军人事务局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  <w:jc w:val="center"/>
        </w:trPr>
        <w:tc>
          <w:tcPr>
            <w:tcW w:w="1813" w:type="dxa"/>
            <w:gridSpan w:val="3"/>
            <w:noWrap w:val="0"/>
            <w:vAlign w:val="top"/>
          </w:tcPr>
          <w:p>
            <w:pPr>
              <w:spacing w:before="200" w:line="229" w:lineRule="auto"/>
              <w:ind w:left="6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sectPr>
          <w:footerReference r:id="rId7" w:type="default"/>
          <w:pgSz w:w="16839" w:h="11906"/>
          <w:pgMar w:top="1012" w:right="981" w:bottom="1132" w:left="1327" w:header="0" w:footer="876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</w:t>
      </w:r>
    </w:p>
    <w:p>
      <w:pPr>
        <w:spacing w:before="100" w:line="23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表</w:t>
      </w:r>
      <w:r>
        <w:rPr>
          <w:rFonts w:ascii="仿宋" w:hAnsi="仿宋" w:eastAsia="仿宋" w:cs="仿宋"/>
          <w:spacing w:val="-2"/>
          <w:sz w:val="32"/>
          <w:szCs w:val="32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eastAsia="zh-CN"/>
        </w:rPr>
        <w:t>弋阳县退役军人事务局</w:t>
      </w:r>
      <w:r>
        <w:rPr>
          <w:rFonts w:hint="eastAsia" w:ascii="黑体" w:hAnsi="黑体" w:eastAsia="黑体" w:cs="黑体"/>
          <w:spacing w:val="8"/>
          <w:sz w:val="44"/>
          <w:szCs w:val="44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44"/>
          <w:szCs w:val="44"/>
        </w:rPr>
        <w:t>年度行政检查实施情况统计</w:t>
      </w:r>
      <w:r>
        <w:rPr>
          <w:rFonts w:ascii="黑体" w:hAnsi="黑体" w:eastAsia="黑体" w:cs="黑体"/>
          <w:spacing w:val="7"/>
          <w:sz w:val="44"/>
          <w:szCs w:val="44"/>
        </w:rPr>
        <w:t>表</w:t>
      </w:r>
    </w:p>
    <w:p>
      <w:pPr>
        <w:spacing w:line="98" w:lineRule="exact"/>
      </w:pPr>
    </w:p>
    <w:tbl>
      <w:tblPr>
        <w:tblStyle w:val="6"/>
        <w:tblW w:w="151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927"/>
        <w:gridCol w:w="810"/>
        <w:gridCol w:w="765"/>
        <w:gridCol w:w="810"/>
        <w:gridCol w:w="750"/>
        <w:gridCol w:w="855"/>
        <w:gridCol w:w="840"/>
        <w:gridCol w:w="855"/>
        <w:gridCol w:w="885"/>
        <w:gridCol w:w="750"/>
        <w:gridCol w:w="1274"/>
        <w:gridCol w:w="1049"/>
        <w:gridCol w:w="825"/>
        <w:gridCol w:w="915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  <w:jc w:val="center"/>
        </w:trPr>
        <w:tc>
          <w:tcPr>
            <w:tcW w:w="647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647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9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3" w:firstLine="3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66" w:firstLine="4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59" w:firstLine="6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15" w:firstLine="6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23" w:firstLine="6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弋阳县退役军人事务局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合计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2" w:line="312" w:lineRule="exact"/>
        <w:ind w:left="8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pacing w:val="5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pacing w:val="9"/>
          <w:position w:val="2"/>
          <w:sz w:val="23"/>
          <w:szCs w:val="23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8" w:firstLineChars="1600"/>
        <w:textAlignment w:val="auto"/>
        <w:rPr>
          <w:rFonts w:hint="default" w:ascii="仿宋" w:hAnsi="仿宋" w:eastAsia="仿宋" w:cs="仿宋"/>
          <w:spacing w:val="9"/>
          <w:position w:val="2"/>
          <w:sz w:val="23"/>
          <w:szCs w:val="23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793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zc1Y2VmNThlYmZiZjU2M2MzOTY3NTU4Njc1NmYifQ=="/>
  </w:docVars>
  <w:rsids>
    <w:rsidRoot w:val="5A4B377B"/>
    <w:rsid w:val="18AD54A5"/>
    <w:rsid w:val="28834297"/>
    <w:rsid w:val="37687568"/>
    <w:rsid w:val="410F1DC7"/>
    <w:rsid w:val="50FC2EC0"/>
    <w:rsid w:val="5A4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2516</Words>
  <Characters>2589</Characters>
  <Lines>0</Lines>
  <Paragraphs>0</Paragraphs>
  <TotalTime>29</TotalTime>
  <ScaleCrop>false</ScaleCrop>
  <LinksUpToDate>false</LinksUpToDate>
  <CharactersWithSpaces>2742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2023-04-17T04:48:00Z</dcterms:created>
  <dc:creator>Lenovo</dc:creator>
  <cp:lastModifiedBy>小将军</cp:lastModifiedBy>
  <cp:lastPrinted>2023-04-20T01:12:28Z</cp:lastPrinted>
  <dcterms:modified xsi:type="dcterms:W3CDTF">2023-04-20T01:25:44Z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2C5A63008F34449F91605DAC6A0D6CC6</vt:lpwstr>
  </property>
</Properties>
</file>